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39" w:rsidRDefault="00B0764B" w:rsidP="00BC01BD">
      <w:pPr>
        <w:shd w:val="clear" w:color="auto" w:fill="FFFFFF"/>
        <w:bidi w:val="0"/>
        <w:spacing w:after="0" w:line="240" w:lineRule="auto"/>
        <w:rPr>
          <w:rFonts w:ascii="Georgia" w:eastAsia="Times New Roman" w:hAnsi="Georgia" w:cs="Lucida Sans Unicode"/>
          <w:b/>
          <w:sz w:val="28"/>
          <w:lang w:val="en-AU"/>
        </w:rPr>
      </w:pPr>
      <w:r>
        <w:rPr>
          <w:rFonts w:ascii="Georgia" w:eastAsia="Times New Roman" w:hAnsi="Georgia" w:cs="Times New Roman"/>
          <w:b/>
          <w:sz w:val="28"/>
        </w:rPr>
        <w:t>Conventional transversus abdominis plane block versus ultrasound Guided transversus abdominis plane block on Postoperative Analgesia:</w:t>
      </w:r>
      <w:r>
        <w:rPr>
          <w:rFonts w:ascii="Georgia" w:eastAsia="Times New Roman" w:hAnsi="Georgia" w:cs="Lucida Sans Unicode"/>
          <w:b/>
          <w:color w:val="FF0000"/>
          <w:sz w:val="28"/>
          <w:lang w:val="en-AU"/>
        </w:rPr>
        <w:t xml:space="preserve"> </w:t>
      </w:r>
      <w:r>
        <w:rPr>
          <w:rFonts w:ascii="Georgia" w:eastAsia="Times New Roman" w:hAnsi="Georgia" w:cs="Lucida Sans Unicode"/>
          <w:b/>
          <w:sz w:val="28"/>
          <w:lang w:val="en-AU"/>
        </w:rPr>
        <w:t>A Randomized Trial</w:t>
      </w:r>
    </w:p>
    <w:p w:rsidR="00896039" w:rsidRDefault="00896039">
      <w:pPr>
        <w:shd w:val="clear" w:color="auto" w:fill="FFFFFF"/>
        <w:bidi w:val="0"/>
        <w:spacing w:after="96" w:line="240" w:lineRule="auto"/>
        <w:rPr>
          <w:rFonts w:ascii="Lucida Sans Unicode" w:eastAsia="Times New Roman" w:hAnsi="Lucida Sans Unicode" w:cs="Lucida Sans Unicode"/>
          <w:b/>
          <w:color w:val="FF0000"/>
          <w:sz w:val="19"/>
          <w:lang w:val="en-AU"/>
        </w:rPr>
      </w:pPr>
    </w:p>
    <w:p w:rsidR="00896039" w:rsidRDefault="00B0764B">
      <w:pPr>
        <w:shd w:val="clear" w:color="auto" w:fill="FFFFFF"/>
        <w:bidi w:val="0"/>
        <w:spacing w:after="96" w:line="240" w:lineRule="auto"/>
        <w:rPr>
          <w:rFonts w:ascii="Georgia" w:eastAsia="Times New Roman" w:hAnsi="Georgia" w:cs="Lucida Sans Unicode"/>
          <w:b/>
          <w:color w:val="403838"/>
          <w:sz w:val="29"/>
          <w:lang w:val="en-AU"/>
        </w:rPr>
      </w:pPr>
      <w:r>
        <w:rPr>
          <w:rFonts w:ascii="Georgia" w:eastAsia="Times New Roman" w:hAnsi="Georgia" w:cs="Lucida Sans Unicode"/>
          <w:b/>
          <w:color w:val="403838"/>
          <w:sz w:val="29"/>
          <w:lang w:val="en-AU"/>
        </w:rPr>
        <w:t>Abstract</w:t>
      </w:r>
    </w:p>
    <w:p w:rsidR="00896039" w:rsidRPr="009267EB" w:rsidRDefault="00B0764B">
      <w:pPr>
        <w:shd w:val="clear" w:color="auto" w:fill="FFFFFF"/>
        <w:bidi w:val="0"/>
        <w:spacing w:before="140" w:after="140" w:line="240" w:lineRule="auto"/>
        <w:jc w:val="both"/>
        <w:rPr>
          <w:rFonts w:ascii="Lucida Sans Unicode" w:eastAsia="Times New Roman" w:hAnsi="Lucida Sans Unicode" w:cs="Lucida Sans Unicode"/>
          <w:color w:val="403838"/>
          <w:szCs w:val="22"/>
          <w:lang w:val="en-AU"/>
        </w:rPr>
      </w:pPr>
      <w:r w:rsidRPr="009267EB">
        <w:rPr>
          <w:rFonts w:ascii="Lucida Sans Unicode" w:eastAsia="Times New Roman" w:hAnsi="Lucida Sans Unicode" w:cs="Lucida Sans Unicode"/>
          <w:b/>
          <w:color w:val="403838"/>
          <w:szCs w:val="22"/>
          <w:lang w:val="en-AU"/>
        </w:rPr>
        <w:t xml:space="preserve">BACKGROUND: </w:t>
      </w:r>
      <w:r w:rsidRPr="009267EB">
        <w:rPr>
          <w:rFonts w:ascii="Lucida Sans Unicode" w:eastAsia="Times New Roman" w:hAnsi="Lucida Sans Unicode" w:cs="Lucida Sans Unicode"/>
          <w:color w:val="403838"/>
          <w:szCs w:val="22"/>
          <w:lang w:val="en-AU"/>
        </w:rPr>
        <w:t>The transversus abdominis plane (TAP) block is an effective method of providing postoperative analgesia in patients undergoing midline abdominal wall incisions. We evaluated its analgesic efficacy over the first 24 postoperative hours after cesarean delivery and total abdominal hysterectomy performed through a Pfannen</w:t>
      </w:r>
      <w:r w:rsidR="00BC01BD" w:rsidRPr="009267EB">
        <w:rPr>
          <w:rFonts w:ascii="Lucida Sans Unicode" w:eastAsia="Times New Roman" w:hAnsi="Lucida Sans Unicode" w:cs="Lucida Sans Unicode"/>
          <w:color w:val="403838"/>
          <w:szCs w:val="22"/>
          <w:lang w:val="en-AU"/>
        </w:rPr>
        <w:t>steil incision, in a randomized</w:t>
      </w:r>
      <w:r w:rsidRPr="009267EB">
        <w:rPr>
          <w:rFonts w:ascii="Lucida Sans Unicode" w:eastAsia="Times New Roman" w:hAnsi="Lucida Sans Unicode" w:cs="Lucida Sans Unicode"/>
          <w:color w:val="403838"/>
          <w:szCs w:val="22"/>
          <w:lang w:val="en-AU"/>
        </w:rPr>
        <w:t xml:space="preserve">, double-blind, clinical trial. </w:t>
      </w:r>
    </w:p>
    <w:p w:rsidR="00896039" w:rsidRPr="008D74EE" w:rsidRDefault="00B0764B" w:rsidP="00BC01BD">
      <w:pPr>
        <w:shd w:val="clear" w:color="auto" w:fill="FFFFFF"/>
        <w:bidi w:val="0"/>
        <w:spacing w:before="140" w:after="140" w:line="240" w:lineRule="auto"/>
        <w:jc w:val="both"/>
        <w:rPr>
          <w:rFonts w:ascii="Lucida Sans Unicode" w:eastAsia="Times New Roman" w:hAnsi="Lucida Sans Unicode" w:cs="Lucida Sans Unicode"/>
          <w:color w:val="403838"/>
          <w:szCs w:val="22"/>
          <w:lang w:val="en-AU"/>
        </w:rPr>
      </w:pPr>
      <w:r w:rsidRPr="009267EB">
        <w:rPr>
          <w:rFonts w:ascii="Lucida Sans Unicode" w:eastAsia="Times New Roman" w:hAnsi="Lucida Sans Unicode" w:cs="Lucida Sans Unicode"/>
          <w:b/>
          <w:color w:val="403838"/>
          <w:szCs w:val="22"/>
          <w:lang w:val="en-AU"/>
        </w:rPr>
        <w:t xml:space="preserve">METHODS: </w:t>
      </w:r>
      <w:r w:rsidRPr="009267EB">
        <w:rPr>
          <w:rFonts w:ascii="Lucida Sans Unicode" w:eastAsia="Times New Roman" w:hAnsi="Lucida Sans Unicode" w:cs="Lucida Sans Unicode"/>
          <w:color w:val="403838"/>
          <w:szCs w:val="22"/>
          <w:lang w:val="en-AU"/>
        </w:rPr>
        <w:t>sixty women undergoing elective cesarean delivery and total abdominal hysterectomy were randomized to undergo TAP block with conventional (landmark) tecknique (</w:t>
      </w:r>
      <w:r w:rsidRPr="009267EB">
        <w:rPr>
          <w:rFonts w:ascii="Lucida Sans Unicode" w:eastAsia="Times New Roman" w:hAnsi="Lucida Sans Unicode" w:cs="Lucida Sans Unicode"/>
          <w:i/>
          <w:color w:val="403838"/>
          <w:szCs w:val="22"/>
          <w:lang w:val="en-AU"/>
        </w:rPr>
        <w:t>n</w:t>
      </w:r>
      <w:r w:rsidRPr="009267EB">
        <w:rPr>
          <w:rFonts w:ascii="Lucida Sans Unicode" w:eastAsia="Times New Roman" w:hAnsi="Lucida Sans Unicode" w:cs="Lucida Sans Unicode"/>
          <w:color w:val="403838"/>
          <w:szCs w:val="22"/>
          <w:lang w:val="en-AU"/>
        </w:rPr>
        <w:t xml:space="preserve"> = 30) versus ultrasound guided technique (</w:t>
      </w:r>
      <w:r w:rsidRPr="009267EB">
        <w:rPr>
          <w:rFonts w:ascii="Lucida Sans Unicode" w:eastAsia="Times New Roman" w:hAnsi="Lucida Sans Unicode" w:cs="Lucida Sans Unicode"/>
          <w:i/>
          <w:color w:val="403838"/>
          <w:szCs w:val="22"/>
          <w:lang w:val="en-AU"/>
        </w:rPr>
        <w:t>n</w:t>
      </w:r>
      <w:r w:rsidRPr="009267EB">
        <w:rPr>
          <w:rFonts w:ascii="Lucida Sans Unicode" w:eastAsia="Times New Roman" w:hAnsi="Lucida Sans Unicode" w:cs="Lucida Sans Unicode"/>
          <w:color w:val="403838"/>
          <w:szCs w:val="22"/>
          <w:lang w:val="en-AU"/>
        </w:rPr>
        <w:t xml:space="preserve"> = 30), in addition to standard postoperative analgesia comprising on demand IV morphine analgesia and regular diclofenac and acetaminophen. All patients received a standard general anesthesia, and at the end of surgery, a bilateral TAP block was performed using 20 ml bupivacaine 0.25% by the conventional </w:t>
      </w:r>
      <w:r w:rsidRPr="008D74EE">
        <w:rPr>
          <w:rFonts w:ascii="Lucida Sans Unicode" w:eastAsia="Times New Roman" w:hAnsi="Lucida Sans Unicode" w:cs="Lucida Sans Unicode"/>
          <w:color w:val="403838"/>
          <w:szCs w:val="22"/>
          <w:lang w:val="en-AU"/>
        </w:rPr>
        <w:t xml:space="preserve">technique or ultrasound guided technique on each </w:t>
      </w:r>
      <w:r w:rsidR="00BC01BD" w:rsidRPr="008D74EE">
        <w:rPr>
          <w:rFonts w:ascii="Lucida Sans Unicode" w:eastAsia="Times New Roman" w:hAnsi="Lucida Sans Unicode" w:cs="Lucida Sans Unicode"/>
          <w:color w:val="403838"/>
          <w:szCs w:val="22"/>
          <w:lang w:val="en-AU"/>
        </w:rPr>
        <w:t xml:space="preserve">side. Each patient was assessed for </w:t>
      </w:r>
      <w:r w:rsidR="00BC01BD" w:rsidRPr="008D74EE">
        <w:rPr>
          <w:rFonts w:ascii="Lucida Sans Unicode" w:eastAsia="Times New Roman" w:hAnsi="Lucida Sans Unicode" w:cs="Lucida Sans Unicode"/>
          <w:color w:val="403838"/>
          <w:szCs w:val="22"/>
        </w:rPr>
        <w:t>morphine consumption, visual analogue pain score (VAS) at rest and on movement, vital signs</w:t>
      </w:r>
      <w:r w:rsidR="004B14B2" w:rsidRPr="008D74EE">
        <w:rPr>
          <w:rFonts w:ascii="Lucida Sans Unicode" w:eastAsia="Times New Roman" w:hAnsi="Lucida Sans Unicode" w:cs="Lucida Sans Unicode"/>
          <w:color w:val="403838"/>
          <w:szCs w:val="22"/>
        </w:rPr>
        <w:t xml:space="preserve"> and presence of complications (nausea, vomiting, sedation and pruritus) </w:t>
      </w:r>
      <w:r w:rsidRPr="008D74EE">
        <w:rPr>
          <w:rFonts w:ascii="Lucida Sans Unicode" w:eastAsia="Times New Roman" w:hAnsi="Lucida Sans Unicode" w:cs="Lucida Sans Unicode"/>
          <w:color w:val="403838"/>
          <w:szCs w:val="22"/>
          <w:lang w:val="en-AU"/>
        </w:rPr>
        <w:t xml:space="preserve">postoperatively by a blinded investigator: in the </w:t>
      </w:r>
      <w:proofErr w:type="spellStart"/>
      <w:r w:rsidRPr="008D74EE">
        <w:rPr>
          <w:rFonts w:ascii="Lucida Sans Unicode" w:eastAsia="Times New Roman" w:hAnsi="Lucida Sans Unicode" w:cs="Lucida Sans Unicode"/>
          <w:color w:val="403838"/>
          <w:szCs w:val="22"/>
          <w:lang w:val="en-AU"/>
        </w:rPr>
        <w:t>postanesthesia</w:t>
      </w:r>
      <w:proofErr w:type="spellEnd"/>
      <w:r w:rsidRPr="008D74EE">
        <w:rPr>
          <w:rFonts w:ascii="Lucida Sans Unicode" w:eastAsia="Times New Roman" w:hAnsi="Lucida Sans Unicode" w:cs="Lucida Sans Unicode"/>
          <w:color w:val="403838"/>
          <w:szCs w:val="22"/>
          <w:lang w:val="en-AU"/>
        </w:rPr>
        <w:t xml:space="preserve"> care unit</w:t>
      </w:r>
      <w:r w:rsidR="00BC01BD" w:rsidRPr="008D74EE">
        <w:rPr>
          <w:rFonts w:ascii="Lucida Sans Unicode" w:eastAsia="Times New Roman" w:hAnsi="Lucida Sans Unicode" w:cs="Lucida Sans Unicode"/>
          <w:color w:val="403838"/>
          <w:szCs w:val="22"/>
          <w:lang w:val="en-AU"/>
        </w:rPr>
        <w:t xml:space="preserve"> (PACU)</w:t>
      </w:r>
      <w:r w:rsidRPr="008D74EE">
        <w:rPr>
          <w:rFonts w:ascii="Lucida Sans Unicode" w:eastAsia="Times New Roman" w:hAnsi="Lucida Sans Unicode" w:cs="Lucida Sans Unicode"/>
          <w:color w:val="403838"/>
          <w:szCs w:val="22"/>
          <w:lang w:val="en-AU"/>
        </w:rPr>
        <w:t xml:space="preserve"> and at 2, 4, 8, 12 and 24 h postoperatively. </w:t>
      </w:r>
    </w:p>
    <w:p w:rsidR="00896039" w:rsidRPr="009267EB" w:rsidRDefault="00B0764B">
      <w:pPr>
        <w:shd w:val="clear" w:color="auto" w:fill="FFFFFF"/>
        <w:bidi w:val="0"/>
        <w:spacing w:before="140" w:after="140" w:line="240" w:lineRule="auto"/>
        <w:jc w:val="both"/>
        <w:rPr>
          <w:rFonts w:ascii="Lucida Sans Unicode" w:eastAsia="Times New Roman" w:hAnsi="Lucida Sans Unicode" w:cs="Lucida Sans Unicode"/>
          <w:color w:val="403838"/>
          <w:szCs w:val="22"/>
          <w:lang w:val="en-AU"/>
        </w:rPr>
      </w:pPr>
      <w:r w:rsidRPr="008D74EE">
        <w:rPr>
          <w:rFonts w:ascii="Lucida Sans Unicode" w:eastAsia="Times New Roman" w:hAnsi="Lucida Sans Unicode" w:cs="Lucida Sans Unicode"/>
          <w:b/>
          <w:color w:val="403838"/>
          <w:szCs w:val="22"/>
          <w:lang w:val="en-AU"/>
        </w:rPr>
        <w:t xml:space="preserve">RESULTS: </w:t>
      </w:r>
      <w:r w:rsidRPr="008D74EE">
        <w:rPr>
          <w:rFonts w:ascii="Lucida Sans Unicode" w:eastAsia="Times New Roman" w:hAnsi="Lucida Sans Unicode" w:cs="Lucida Sans Unicode"/>
          <w:color w:val="403838"/>
          <w:szCs w:val="22"/>
          <w:lang w:val="en-AU"/>
        </w:rPr>
        <w:t>The TAP block with ultrasound guided technique</w:t>
      </w:r>
      <w:r w:rsidRPr="009267EB">
        <w:rPr>
          <w:rFonts w:ascii="Lucida Sans Unicode" w:eastAsia="Times New Roman" w:hAnsi="Lucida Sans Unicode" w:cs="Lucida Sans Unicode"/>
          <w:color w:val="403838"/>
          <w:szCs w:val="22"/>
          <w:lang w:val="en-AU"/>
        </w:rPr>
        <w:t xml:space="preserve"> compared with conventional technique reduced postoperative mean (±sd) total morphine requirements in the first 24 postoperative hours (30 ± 13 vs. 22 ± 4 mg, </w:t>
      </w:r>
      <w:r w:rsidRPr="009267EB">
        <w:rPr>
          <w:rFonts w:ascii="Lucida Sans Unicode" w:eastAsia="Times New Roman" w:hAnsi="Lucida Sans Unicode" w:cs="Lucida Sans Unicode"/>
          <w:i/>
          <w:color w:val="403838"/>
          <w:szCs w:val="22"/>
          <w:lang w:val="en-AU"/>
        </w:rPr>
        <w:t>P</w:t>
      </w:r>
      <w:r w:rsidRPr="009267EB">
        <w:rPr>
          <w:rFonts w:ascii="Lucida Sans Unicode" w:eastAsia="Times New Roman" w:hAnsi="Lucida Sans Unicode" w:cs="Lucida Sans Unicode"/>
          <w:color w:val="403838"/>
          <w:szCs w:val="22"/>
          <w:lang w:val="en-AU"/>
        </w:rPr>
        <w:t xml:space="preserve"> &lt; 0.005). There were no complications attributable to the TAP block. </w:t>
      </w:r>
    </w:p>
    <w:p w:rsidR="00896039" w:rsidRPr="009267EB" w:rsidRDefault="00B0764B">
      <w:pPr>
        <w:shd w:val="clear" w:color="auto" w:fill="FFFFFF"/>
        <w:bidi w:val="0"/>
        <w:spacing w:before="140" w:after="140" w:line="240" w:lineRule="auto"/>
        <w:jc w:val="both"/>
        <w:rPr>
          <w:rFonts w:ascii="Lucida Sans Unicode" w:eastAsia="Times New Roman" w:hAnsi="Lucida Sans Unicode" w:cs="Lucida Sans Unicode"/>
          <w:color w:val="403838"/>
          <w:szCs w:val="22"/>
          <w:lang w:val="en-AU"/>
        </w:rPr>
      </w:pPr>
      <w:r w:rsidRPr="009267EB">
        <w:rPr>
          <w:rFonts w:ascii="Lucida Sans Unicode" w:eastAsia="Times New Roman" w:hAnsi="Lucida Sans Unicode" w:cs="Lucida Sans Unicode"/>
          <w:b/>
          <w:color w:val="403838"/>
          <w:szCs w:val="22"/>
          <w:lang w:val="en-AU"/>
        </w:rPr>
        <w:t xml:space="preserve">CONCLUSIONS: </w:t>
      </w:r>
      <w:r w:rsidRPr="009267EB">
        <w:rPr>
          <w:rFonts w:ascii="Lucida Sans Unicode" w:eastAsia="Times New Roman" w:hAnsi="Lucida Sans Unicode" w:cs="Lucida Sans Unicode"/>
          <w:color w:val="403838"/>
          <w:szCs w:val="22"/>
          <w:lang w:val="en-AU"/>
        </w:rPr>
        <w:t xml:space="preserve">The TAP block performed by the ultrasound guided technique provided superior analgesia when compared with TAP block performed by the conventional technique up to 24 postoperative hours after elective cesarean delivery and total abdominal hysterectomy. </w:t>
      </w:r>
    </w:p>
    <w:p w:rsidR="00896039" w:rsidRDefault="00B0764B">
      <w:pPr>
        <w:shd w:val="clear" w:color="auto" w:fill="FFFFFF"/>
        <w:bidi w:val="0"/>
        <w:spacing w:before="140" w:after="140" w:line="240" w:lineRule="auto"/>
        <w:jc w:val="both"/>
        <w:rPr>
          <w:rFonts w:ascii="Lucida Sans Unicode" w:eastAsia="Times New Roman" w:hAnsi="Lucida Sans Unicode" w:cs="Lucida Sans Unicode"/>
          <w:color w:val="403838"/>
          <w:highlight w:val="red"/>
          <w:lang w:val="en-AU"/>
        </w:rPr>
      </w:pPr>
      <w:r w:rsidRPr="009267EB">
        <w:rPr>
          <w:rFonts w:ascii="Lucida Sans Unicode" w:eastAsia="Times New Roman" w:hAnsi="Lucida Sans Unicode" w:cs="Lucida Sans Unicode"/>
          <w:b/>
          <w:bCs/>
          <w:color w:val="403838"/>
          <w:szCs w:val="22"/>
        </w:rPr>
        <w:t>Keywords</w:t>
      </w:r>
      <w:r w:rsidRPr="009267EB">
        <w:rPr>
          <w:rFonts w:ascii="Lucida Sans Unicode" w:eastAsia="Times New Roman" w:hAnsi="Lucida Sans Unicode" w:cs="Lucida Sans Unicode"/>
          <w:color w:val="403838"/>
          <w:szCs w:val="22"/>
        </w:rPr>
        <w:t>: TAP block</w:t>
      </w:r>
      <w:r>
        <w:rPr>
          <w:rFonts w:ascii="Lucida Sans Unicode" w:eastAsia="Times New Roman" w:hAnsi="Lucida Sans Unicode" w:cs="Lucida Sans Unicode"/>
          <w:color w:val="403838"/>
        </w:rPr>
        <w:t>, Ultrasound guided</w:t>
      </w:r>
      <w:proofErr w:type="gramStart"/>
      <w:r>
        <w:rPr>
          <w:rFonts w:ascii="Lucida Sans Unicode" w:eastAsia="Times New Roman" w:hAnsi="Lucida Sans Unicode" w:cs="Lucida Sans Unicode"/>
          <w:color w:val="403838"/>
        </w:rPr>
        <w:t>,postoperative</w:t>
      </w:r>
      <w:proofErr w:type="gramEnd"/>
      <w:r>
        <w:rPr>
          <w:rFonts w:ascii="Lucida Sans Unicode" w:eastAsia="Times New Roman" w:hAnsi="Lucida Sans Unicode" w:cs="Lucida Sans Unicode"/>
          <w:color w:val="403838"/>
        </w:rPr>
        <w:t xml:space="preserve"> analgesia.</w:t>
      </w:r>
    </w:p>
    <w:p w:rsidR="00896039" w:rsidRDefault="00B0764B">
      <w:pPr>
        <w:shd w:val="clear" w:color="auto" w:fill="FFFFFF"/>
        <w:bidi w:val="0"/>
        <w:spacing w:before="140" w:after="140" w:line="240" w:lineRule="auto"/>
        <w:jc w:val="both"/>
        <w:rPr>
          <w:rFonts w:ascii="Lucida Sans Unicode" w:eastAsia="Times New Roman" w:hAnsi="Lucida Sans Unicode" w:cs="Lucida Sans Unicode"/>
          <w:color w:val="403838"/>
        </w:rPr>
      </w:pPr>
      <w:r>
        <w:rPr>
          <w:rFonts w:ascii="Lucida Sans Unicode" w:eastAsia="Times New Roman" w:hAnsi="Lucida Sans Unicode" w:cs="Lucida Sans Unicode"/>
          <w:color w:val="403838"/>
          <w:lang w:val="en-AU"/>
        </w:rPr>
        <w:t xml:space="preserve"> </w:t>
      </w:r>
    </w:p>
    <w:p w:rsidR="00896039" w:rsidRDefault="00896039">
      <w:pPr>
        <w:shd w:val="clear" w:color="auto" w:fill="FFFFFF"/>
        <w:bidi w:val="0"/>
        <w:spacing w:after="0" w:line="240" w:lineRule="auto"/>
        <w:rPr>
          <w:rFonts w:ascii="Lucida Sans Unicode" w:eastAsia="Times New Roman" w:hAnsi="Lucida Sans Unicode" w:cs="Lucida Sans Unicode"/>
          <w:color w:val="403838"/>
          <w:lang w:val="en-AU"/>
        </w:rPr>
      </w:pPr>
    </w:p>
    <w:p w:rsidR="00BC01BD" w:rsidRDefault="00BC01BD">
      <w:pPr>
        <w:bidi w:val="0"/>
        <w:spacing w:before="75" w:after="75"/>
        <w:rPr>
          <w:rFonts w:ascii="Arial" w:eastAsia="Times New Roman" w:hAnsi="Arial" w:cs="Arial"/>
          <w:color w:val="000000"/>
          <w:sz w:val="20"/>
          <w:highlight w:val="green"/>
        </w:rPr>
      </w:pPr>
    </w:p>
    <w:p w:rsidR="00BC01BD" w:rsidRDefault="00BC01BD" w:rsidP="00BC01BD">
      <w:pPr>
        <w:bidi w:val="0"/>
        <w:spacing w:before="75" w:after="75"/>
        <w:rPr>
          <w:rFonts w:ascii="Arial" w:eastAsia="Times New Roman" w:hAnsi="Arial" w:cs="Arial"/>
          <w:color w:val="000000"/>
          <w:sz w:val="20"/>
          <w:highlight w:val="green"/>
        </w:rPr>
      </w:pPr>
    </w:p>
    <w:p w:rsidR="00BC01BD" w:rsidRDefault="00BC01BD" w:rsidP="00BC01BD">
      <w:pPr>
        <w:bidi w:val="0"/>
        <w:spacing w:before="75" w:after="75"/>
        <w:rPr>
          <w:rFonts w:ascii="Arial" w:eastAsia="Times New Roman" w:hAnsi="Arial" w:cs="Arial"/>
          <w:color w:val="000000"/>
          <w:sz w:val="20"/>
          <w:highlight w:val="green"/>
        </w:rPr>
      </w:pPr>
    </w:p>
    <w:p w:rsidR="00896039" w:rsidRPr="009267EB" w:rsidRDefault="00B0764B" w:rsidP="00BC01BD">
      <w:pPr>
        <w:bidi w:val="0"/>
        <w:spacing w:before="75" w:after="75"/>
        <w:rPr>
          <w:rFonts w:ascii="Arial" w:eastAsia="Times New Roman" w:hAnsi="Arial" w:cs="Arial"/>
          <w:b/>
          <w:bCs/>
          <w:color w:val="000000"/>
          <w:szCs w:val="22"/>
        </w:rPr>
      </w:pPr>
      <w:r w:rsidRPr="009267EB">
        <w:rPr>
          <w:rFonts w:ascii="Arial" w:eastAsia="Times New Roman" w:hAnsi="Arial" w:cs="Arial"/>
          <w:b/>
          <w:bCs/>
          <w:color w:val="000000"/>
          <w:szCs w:val="22"/>
        </w:rPr>
        <w:lastRenderedPageBreak/>
        <w:t>Introduction:</w:t>
      </w:r>
    </w:p>
    <w:p w:rsidR="00896039" w:rsidRPr="009F083C" w:rsidRDefault="00B0764B">
      <w:pPr>
        <w:bidi w:val="0"/>
        <w:spacing w:before="75" w:after="75"/>
        <w:rPr>
          <w:rFonts w:ascii="Arial" w:eastAsia="Times New Roman" w:hAnsi="Arial" w:cs="Arial"/>
          <w:color w:val="000000"/>
          <w:sz w:val="20"/>
        </w:rPr>
      </w:pPr>
      <w:r w:rsidRPr="009F083C">
        <w:rPr>
          <w:rFonts w:ascii="Arial" w:eastAsia="Times New Roman" w:hAnsi="Arial" w:cs="Arial"/>
          <w:color w:val="000000"/>
          <w:sz w:val="20"/>
        </w:rPr>
        <w:t>Cesarean delivery and total abdominal hysterectomy are major surgical procedures, after which substantial postoperative discomfort and pain can be anticipated.</w:t>
      </w:r>
      <w:hyperlink r:id="rId6" w:anchor="P44" w:history="1">
        <w:r w:rsidRPr="009F083C">
          <w:rPr>
            <w:rStyle w:val="Hyperlink"/>
            <w:rFonts w:ascii="Arial" w:eastAsia="Times New Roman" w:hAnsi="Arial" w:cs="Arial"/>
            <w:b/>
            <w:color w:val="495F74"/>
            <w:sz w:val="20"/>
            <w:u w:val="none"/>
            <w:vertAlign w:val="superscript"/>
          </w:rPr>
          <w:t>1</w:t>
        </w:r>
      </w:hyperlink>
      <w:r w:rsidRPr="009F083C">
        <w:rPr>
          <w:rFonts w:ascii="Arial" w:eastAsia="Times New Roman" w:hAnsi="Arial" w:cs="Arial"/>
          <w:color w:val="000000"/>
          <w:sz w:val="20"/>
        </w:rPr>
        <w:t xml:space="preserve"> </w:t>
      </w:r>
    </w:p>
    <w:p w:rsidR="00896039" w:rsidRPr="009F083C" w:rsidRDefault="00B0764B" w:rsidP="00BC01BD">
      <w:pPr>
        <w:bidi w:val="0"/>
        <w:spacing w:before="75" w:after="75"/>
        <w:rPr>
          <w:rFonts w:ascii="Arial" w:eastAsia="Times New Roman" w:hAnsi="Arial" w:cs="Arial"/>
          <w:b/>
          <w:color w:val="495F74"/>
          <w:sz w:val="20"/>
          <w:vertAlign w:val="superscript"/>
        </w:rPr>
      </w:pPr>
      <w:r w:rsidRPr="009F083C">
        <w:rPr>
          <w:rFonts w:ascii="Arial" w:eastAsia="Times New Roman" w:hAnsi="Arial" w:cs="Arial"/>
          <w:color w:val="000000"/>
          <w:sz w:val="20"/>
        </w:rPr>
        <w:t>The provision of effective postoperative analgesia is of key importance to facilitate early ambulation, infant care, (including breast feeding, maternal-infant bonding) and prevention of postoperative morbidity.</w:t>
      </w:r>
      <w:hyperlink r:id="rId7" w:anchor="P44" w:history="1">
        <w:r w:rsidRPr="009F083C">
          <w:rPr>
            <w:rFonts w:ascii="Arial" w:eastAsia="Times New Roman" w:hAnsi="Arial" w:cs="Arial"/>
            <w:b/>
            <w:color w:val="495F74"/>
            <w:sz w:val="20"/>
            <w:vertAlign w:val="superscript"/>
          </w:rPr>
          <w:t>1</w:t>
        </w:r>
      </w:hyperlink>
      <w:r w:rsidRPr="009F083C">
        <w:rPr>
          <w:rFonts w:ascii="Arial" w:eastAsia="Times New Roman" w:hAnsi="Arial" w:cs="Arial"/>
          <w:b/>
          <w:color w:val="495F74"/>
          <w:sz w:val="20"/>
          <w:vertAlign w:val="superscript"/>
        </w:rPr>
        <w:t xml:space="preserve"> </w:t>
      </w:r>
      <w:r w:rsidRPr="009F083C">
        <w:rPr>
          <w:rFonts w:ascii="Arial" w:eastAsia="Times New Roman" w:hAnsi="Arial" w:cs="Arial"/>
          <w:color w:val="000000"/>
          <w:sz w:val="20"/>
        </w:rPr>
        <w:t>These patients require a multimodal postoperative pain treatment regimen that provides high quality analgesia with minimal side effects. Opioids, such as morphine, remain the mainstay of postoperative analgesic regimens for patients post- abdominal surgery. However, the use of opioids can result in significant adverse effects, including sedation, nausea, and vomiting.</w:t>
      </w:r>
      <w:hyperlink r:id="rId8" w:anchor="P42" w:history="1">
        <w:r w:rsidRPr="009F083C">
          <w:rPr>
            <w:rFonts w:ascii="Arial" w:eastAsia="Times New Roman" w:hAnsi="Arial" w:cs="Arial"/>
            <w:b/>
            <w:color w:val="495F74"/>
            <w:sz w:val="20"/>
            <w:vertAlign w:val="superscript"/>
          </w:rPr>
          <w:t>1–3</w:t>
        </w:r>
      </w:hyperlink>
      <w:r w:rsidRPr="009F083C">
        <w:rPr>
          <w:rFonts w:ascii="Arial" w:eastAsia="Times New Roman" w:hAnsi="Arial" w:cs="Arial"/>
          <w:color w:val="000000"/>
          <w:sz w:val="20"/>
        </w:rPr>
        <w:t xml:space="preserve"> </w:t>
      </w:r>
      <w:proofErr w:type="gramStart"/>
      <w:r w:rsidRPr="009F083C">
        <w:rPr>
          <w:rFonts w:ascii="Arial" w:eastAsia="Times New Roman" w:hAnsi="Arial" w:cs="Arial"/>
          <w:color w:val="000000"/>
          <w:sz w:val="20"/>
        </w:rPr>
        <w:t>An</w:t>
      </w:r>
      <w:proofErr w:type="gramEnd"/>
      <w:r w:rsidRPr="009F083C">
        <w:rPr>
          <w:rFonts w:ascii="Arial" w:eastAsia="Times New Roman" w:hAnsi="Arial" w:cs="Arial"/>
          <w:color w:val="000000"/>
          <w:sz w:val="20"/>
        </w:rPr>
        <w:t xml:space="preserve"> important component of the pain experienced by patients after abdominal surgery derives from the abdominal wall incision. The lateral abdominal wall consists of three muscle layers, the external oblique, the internal oblique and the transversus abdominis, and their fascial sheaths. The central abdominal wall also includes the rectus abdominis muscles and its fascial sheath. The nerves that supply the anterior abdominal wall course through the neurofascial plane between the internal oblique and the transversus abdominis muscles.</w:t>
      </w:r>
      <w:hyperlink r:id="rId9" w:anchor="P45" w:history="1">
        <w:r w:rsidRPr="009F083C">
          <w:rPr>
            <w:rStyle w:val="Hyperlink"/>
            <w:rFonts w:ascii="Arial" w:eastAsia="Times New Roman" w:hAnsi="Arial" w:cs="Arial"/>
            <w:b/>
            <w:color w:val="495F74"/>
            <w:sz w:val="20"/>
            <w:u w:val="none"/>
            <w:vertAlign w:val="superscript"/>
          </w:rPr>
          <w:t>2</w:t>
        </w:r>
      </w:hyperlink>
      <w:r w:rsidRPr="009F083C">
        <w:rPr>
          <w:rFonts w:ascii="Arial" w:eastAsia="Times New Roman" w:hAnsi="Arial" w:cs="Arial"/>
          <w:color w:val="000000"/>
          <w:sz w:val="20"/>
        </w:rPr>
        <w:t xml:space="preserve"> TAP block was performed either by </w:t>
      </w:r>
      <w:r w:rsidRPr="00BC01BD">
        <w:rPr>
          <w:rFonts w:ascii="Arial" w:eastAsia="Times New Roman" w:hAnsi="Arial" w:cs="Arial"/>
          <w:color w:val="000000"/>
          <w:sz w:val="20"/>
        </w:rPr>
        <w:t xml:space="preserve">the conventional method where </w:t>
      </w:r>
      <w:r w:rsidRPr="00BC01BD">
        <w:rPr>
          <w:rFonts w:ascii="Arial" w:hAnsi="Arial" w:cs="Arial"/>
          <w:sz w:val="20"/>
        </w:rPr>
        <w:t xml:space="preserve">loss of resistance technique was used after palpation of the triangle of petit </w:t>
      </w:r>
      <w:r w:rsidRPr="00BC01BD">
        <w:rPr>
          <w:rFonts w:ascii="Arial" w:eastAsia="Times New Roman" w:hAnsi="Arial" w:cs="Arial"/>
          <w:color w:val="000000"/>
          <w:sz w:val="20"/>
        </w:rPr>
        <w:t xml:space="preserve">as an access point to this </w:t>
      </w:r>
      <w:proofErr w:type="spellStart"/>
      <w:r w:rsidRPr="00BC01BD">
        <w:rPr>
          <w:rFonts w:ascii="Arial" w:eastAsia="Times New Roman" w:hAnsi="Arial" w:cs="Arial"/>
          <w:color w:val="000000"/>
          <w:sz w:val="20"/>
        </w:rPr>
        <w:t>neurofascial</w:t>
      </w:r>
      <w:proofErr w:type="spellEnd"/>
      <w:r w:rsidRPr="00BC01BD">
        <w:rPr>
          <w:rFonts w:ascii="Arial" w:eastAsia="Times New Roman" w:hAnsi="Arial" w:cs="Arial"/>
          <w:color w:val="000000"/>
          <w:sz w:val="20"/>
        </w:rPr>
        <w:t xml:space="preserve"> plane.</w:t>
      </w:r>
      <w:hyperlink r:id="rId10" w:anchor="P46" w:history="1">
        <w:r w:rsidRPr="00BC01BD">
          <w:rPr>
            <w:rStyle w:val="Hyperlink"/>
            <w:rFonts w:ascii="Arial" w:eastAsia="Times New Roman" w:hAnsi="Arial" w:cs="Arial"/>
            <w:b/>
            <w:color w:val="495F74"/>
            <w:sz w:val="20"/>
            <w:u w:val="none"/>
            <w:vertAlign w:val="superscript"/>
          </w:rPr>
          <w:t>3</w:t>
        </w:r>
      </w:hyperlink>
      <w:r w:rsidRPr="009F083C">
        <w:rPr>
          <w:rFonts w:ascii="Arial" w:hAnsi="Arial" w:cs="Arial"/>
          <w:sz w:val="20"/>
        </w:rPr>
        <w:t xml:space="preserve"> </w:t>
      </w:r>
      <w:r w:rsidRPr="009F083C">
        <w:rPr>
          <w:rFonts w:ascii="Arial" w:eastAsia="Times New Roman" w:hAnsi="Arial" w:cs="Arial"/>
          <w:color w:val="000000"/>
          <w:sz w:val="20"/>
        </w:rPr>
        <w:t xml:space="preserve"> </w:t>
      </w:r>
    </w:p>
    <w:p w:rsidR="00896039" w:rsidRPr="00BC01BD" w:rsidRDefault="00B0764B">
      <w:pPr>
        <w:bidi w:val="0"/>
        <w:spacing w:before="75" w:after="75"/>
        <w:rPr>
          <w:rFonts w:ascii="Arial" w:eastAsia="Times New Roman" w:hAnsi="Arial" w:cs="Arial"/>
          <w:color w:val="000000"/>
          <w:sz w:val="20"/>
        </w:rPr>
      </w:pPr>
      <w:r w:rsidRPr="009F083C">
        <w:rPr>
          <w:rFonts w:ascii="Arial" w:eastAsia="Times New Roman" w:hAnsi="Arial" w:cs="Arial"/>
          <w:color w:val="000000"/>
          <w:sz w:val="20"/>
        </w:rPr>
        <w:t xml:space="preserve">Or by the ultrasound-guided technique where </w:t>
      </w:r>
      <w:r w:rsidRPr="009F083C">
        <w:rPr>
          <w:rFonts w:ascii="Arial" w:hAnsi="Arial" w:cs="Arial"/>
          <w:sz w:val="20"/>
        </w:rPr>
        <w:t xml:space="preserve">in-plane technique using broad linear array probe with an imaging depth of 4-6 cm was performed. </w:t>
      </w:r>
      <w:r w:rsidRPr="009F083C">
        <w:rPr>
          <w:rFonts w:ascii="Arial" w:eastAsia="Times New Roman" w:hAnsi="Arial" w:cs="Arial"/>
          <w:color w:val="000000"/>
          <w:sz w:val="20"/>
        </w:rPr>
        <w:t>By introducing local anesthetics into the transversus abdominis plane (TAP), it is possible to block the sensory nerves of the anterior abdominal wall before they leave this plane and pierce the musculature to innervate the entire anterior abdominal wall</w:t>
      </w:r>
      <w:r w:rsidRPr="00BC01BD">
        <w:rPr>
          <w:rFonts w:ascii="Arial" w:eastAsia="Times New Roman" w:hAnsi="Arial" w:cs="Arial"/>
          <w:color w:val="000000"/>
          <w:sz w:val="20"/>
        </w:rPr>
        <w:t>.</w:t>
      </w:r>
      <w:hyperlink r:id="rId11" w:anchor="P47" w:history="1">
        <w:r w:rsidRPr="00BC01BD">
          <w:rPr>
            <w:rStyle w:val="Hyperlink"/>
            <w:rFonts w:ascii="Arial" w:eastAsia="Times New Roman" w:hAnsi="Arial" w:cs="Arial"/>
            <w:b/>
            <w:color w:val="495F74"/>
            <w:sz w:val="20"/>
            <w:u w:val="none"/>
            <w:vertAlign w:val="superscript"/>
          </w:rPr>
          <w:t>4</w:t>
        </w:r>
      </w:hyperlink>
    </w:p>
    <w:p w:rsidR="00896039" w:rsidRPr="009F083C" w:rsidRDefault="00B0764B">
      <w:pPr>
        <w:bidi w:val="0"/>
        <w:spacing w:before="75" w:after="75"/>
        <w:rPr>
          <w:rFonts w:ascii="Arial" w:eastAsia="Times New Roman" w:hAnsi="Arial" w:cs="Arial"/>
          <w:color w:val="000000"/>
          <w:sz w:val="20"/>
        </w:rPr>
      </w:pPr>
      <w:r w:rsidRPr="009F083C">
        <w:rPr>
          <w:rFonts w:ascii="Arial" w:eastAsia="Times New Roman" w:hAnsi="Arial" w:cs="Arial"/>
          <w:color w:val="000000"/>
          <w:sz w:val="20"/>
        </w:rPr>
        <w:t>The purpose of this study was to compare the TAP block using the conventional technique versus ultrasound-guided technique for postoperative analgesia  in patients undergoing elective cesarean delivery and total abdominal hystererctomy via a Pfannenstiel abdominal wall incision.</w:t>
      </w:r>
    </w:p>
    <w:p w:rsidR="00896039" w:rsidRPr="009267EB" w:rsidRDefault="00B0764B">
      <w:pPr>
        <w:bidi w:val="0"/>
        <w:spacing w:before="375" w:after="225" w:line="240" w:lineRule="auto"/>
        <w:rPr>
          <w:rFonts w:ascii="Arial" w:eastAsia="Times New Roman" w:hAnsi="Arial" w:cs="Arial"/>
          <w:b/>
          <w:color w:val="000000"/>
        </w:rPr>
      </w:pPr>
      <w:r w:rsidRPr="009267EB">
        <w:rPr>
          <w:rFonts w:ascii="Arial" w:eastAsia="Times New Roman" w:hAnsi="Arial" w:cs="Arial"/>
          <w:b/>
          <w:color w:val="000000"/>
        </w:rPr>
        <w:t>METHODS</w:t>
      </w:r>
      <w:r w:rsidR="009267EB" w:rsidRPr="009267EB">
        <w:rPr>
          <w:rFonts w:ascii="Arial" w:eastAsia="Times New Roman" w:hAnsi="Arial" w:cs="Arial"/>
          <w:b/>
          <w:color w:val="000000"/>
        </w:rPr>
        <w:t>:</w:t>
      </w:r>
    </w:p>
    <w:p w:rsidR="00896039" w:rsidRDefault="00B0764B" w:rsidP="00BC01BD">
      <w:pPr>
        <w:bidi w:val="0"/>
        <w:spacing w:before="75" w:after="75"/>
        <w:ind w:firstLine="720"/>
        <w:rPr>
          <w:rFonts w:asciiTheme="minorBidi" w:eastAsia="Times New Roman" w:hAnsiTheme="minorBidi"/>
          <w:color w:val="000000"/>
          <w:sz w:val="20"/>
        </w:rPr>
      </w:pPr>
      <w:r>
        <w:rPr>
          <w:rFonts w:asciiTheme="minorBidi" w:eastAsia="Times New Roman" w:hAnsiTheme="minorBidi"/>
          <w:color w:val="000000"/>
          <w:sz w:val="20"/>
        </w:rPr>
        <w:t xml:space="preserve">After obtaining approval by the Benha university Hospital Ethics Committee, and written informed consent from the patient, we studied 60 ASA physical status I–III patients scheduled for cesarean delivery or total abdominal hysterectomy via a Pfannenstiel incision, in a randomized, double-blind, clinical trial. Patients were excluded if there was a history of relevant drug allergy.Patients were randomly </w:t>
      </w:r>
      <w:r w:rsidRPr="00BC01BD">
        <w:rPr>
          <w:rFonts w:asciiTheme="minorBidi" w:eastAsia="Times New Roman" w:hAnsiTheme="minorBidi"/>
          <w:color w:val="000000"/>
          <w:sz w:val="20"/>
        </w:rPr>
        <w:t xml:space="preserve">allocated into two equal groups </w:t>
      </w:r>
      <w:r>
        <w:rPr>
          <w:rFonts w:asciiTheme="minorBidi" w:eastAsia="Times New Roman" w:hAnsiTheme="minorBidi"/>
          <w:color w:val="000000"/>
          <w:sz w:val="20"/>
        </w:rPr>
        <w:t>undergo conventional TAP block (cTAP group)) (</w:t>
      </w:r>
      <w:r>
        <w:rPr>
          <w:rFonts w:asciiTheme="minorBidi" w:eastAsia="Times New Roman" w:hAnsiTheme="minorBidi"/>
          <w:i/>
          <w:color w:val="000000"/>
          <w:sz w:val="20"/>
        </w:rPr>
        <w:t>n</w:t>
      </w:r>
      <w:r>
        <w:rPr>
          <w:rFonts w:asciiTheme="minorBidi" w:eastAsia="Times New Roman" w:hAnsiTheme="minorBidi"/>
          <w:color w:val="000000"/>
          <w:sz w:val="20"/>
        </w:rPr>
        <w:t xml:space="preserve"> = 30) or ultrasound-guided TAP block (uTAP group) (n = 30) with 20 ml bupivacaine 0.25% per side. Randomization was done by </w:t>
      </w:r>
      <w:r>
        <w:rPr>
          <w:rFonts w:asciiTheme="minorBidi" w:hAnsiTheme="minorBidi"/>
          <w:sz w:val="20"/>
        </w:rPr>
        <w:t xml:space="preserve">online randomization program which used to generate random number list. Patient randomization numbers were concealed in opaque envelops which were opened by the study investigator. </w:t>
      </w:r>
      <w:r>
        <w:rPr>
          <w:rFonts w:asciiTheme="minorBidi" w:eastAsia="Times New Roman" w:hAnsiTheme="minorBidi"/>
          <w:color w:val="000000"/>
          <w:sz w:val="20"/>
        </w:rPr>
        <w:t xml:space="preserve">The patients, their anesthesiologists, and staff providing postoperative care were blinded to group assignment. All patients received a standard </w:t>
      </w:r>
      <w:r>
        <w:rPr>
          <w:rFonts w:asciiTheme="minorBidi" w:hAnsiTheme="minorBidi"/>
          <w:color w:val="000000"/>
          <w:sz w:val="20"/>
        </w:rPr>
        <w:t>general anesthesia</w:t>
      </w:r>
      <w:r>
        <w:rPr>
          <w:rFonts w:asciiTheme="minorBidi" w:eastAsia="Times New Roman" w:hAnsiTheme="minorBidi"/>
          <w:color w:val="000000"/>
          <w:sz w:val="20"/>
        </w:rPr>
        <w:t xml:space="preserve"> consisting of </w:t>
      </w:r>
      <w:r>
        <w:rPr>
          <w:rFonts w:asciiTheme="minorBidi" w:hAnsiTheme="minorBidi"/>
          <w:sz w:val="20"/>
        </w:rPr>
        <w:t xml:space="preserve">fentanyl 1-2 mcg/kg and propofol 1–3 mg/kg followed by rocuronium 0.6 mg/kg to facilitate endotracheal intubation. Fentanyl dose was hold for patients underwent </w:t>
      </w:r>
      <w:r>
        <w:rPr>
          <w:rFonts w:asciiTheme="minorBidi" w:eastAsia="Times New Roman" w:hAnsiTheme="minorBidi"/>
          <w:color w:val="000000"/>
          <w:sz w:val="20"/>
        </w:rPr>
        <w:t>Cesarean delivery until clamping the umbilical cord</w:t>
      </w:r>
      <w:r>
        <w:rPr>
          <w:rFonts w:asciiTheme="minorBidi" w:hAnsiTheme="minorBidi"/>
          <w:sz w:val="20"/>
        </w:rPr>
        <w:t xml:space="preserve">. Anesthesia was maintained with isoflurane 1.2% and rocuronium 0.15 mg/kg as a maintenance dose every 30 minutes till the end of the procedure. </w:t>
      </w:r>
    </w:p>
    <w:p w:rsidR="00896039" w:rsidRPr="004B14B2" w:rsidRDefault="00B0764B" w:rsidP="006224A2">
      <w:pPr>
        <w:bidi w:val="0"/>
        <w:spacing w:before="120" w:after="120"/>
        <w:jc w:val="both"/>
        <w:rPr>
          <w:rFonts w:asciiTheme="minorBidi" w:eastAsia="Times New Roman" w:hAnsiTheme="minorBidi"/>
          <w:color w:val="000000"/>
          <w:sz w:val="20"/>
        </w:rPr>
      </w:pPr>
      <w:r>
        <w:rPr>
          <w:rFonts w:asciiTheme="minorBidi" w:hAnsiTheme="minorBidi"/>
          <w:sz w:val="20"/>
        </w:rPr>
        <w:t xml:space="preserve">At the end of the operation, </w:t>
      </w:r>
      <w:r>
        <w:rPr>
          <w:rFonts w:asciiTheme="minorBidi" w:hAnsiTheme="minorBidi"/>
          <w:sz w:val="20"/>
          <w:lang w:bidi="ar-EG"/>
        </w:rPr>
        <w:t>bilateral transversus abdominis plane (TAP) block with Bupivacaine was placed right before tracheal extubation</w:t>
      </w:r>
      <w:r>
        <w:rPr>
          <w:rFonts w:asciiTheme="minorBidi" w:hAnsiTheme="minorBidi"/>
          <w:sz w:val="20"/>
        </w:rPr>
        <w:t xml:space="preserve"> either by conventional or ultrasound guided technique according to the patient group.</w:t>
      </w:r>
      <w:r>
        <w:rPr>
          <w:rFonts w:asciiTheme="minorBidi" w:hAnsiTheme="minorBidi"/>
          <w:b/>
          <w:sz w:val="20"/>
        </w:rPr>
        <w:t xml:space="preserve"> </w:t>
      </w:r>
      <w:r>
        <w:rPr>
          <w:rFonts w:asciiTheme="minorBidi" w:hAnsiTheme="minorBidi"/>
          <w:sz w:val="20"/>
        </w:rPr>
        <w:t>In cTAP group</w:t>
      </w:r>
      <w:r>
        <w:rPr>
          <w:rFonts w:asciiTheme="minorBidi" w:hAnsiTheme="minorBidi"/>
          <w:b/>
          <w:sz w:val="20"/>
        </w:rPr>
        <w:t xml:space="preserve"> </w:t>
      </w:r>
      <w:r>
        <w:rPr>
          <w:rFonts w:asciiTheme="minorBidi" w:hAnsiTheme="minorBidi"/>
          <w:sz w:val="20"/>
        </w:rPr>
        <w:t xml:space="preserve">Loss of resistance technique was used, the landmark for palpation is the </w:t>
      </w:r>
      <w:r w:rsidRPr="00BC01BD">
        <w:rPr>
          <w:rFonts w:asciiTheme="minorBidi" w:hAnsiTheme="minorBidi"/>
          <w:sz w:val="20"/>
        </w:rPr>
        <w:t xml:space="preserve">triangle of petit which lies above the pelvic rim in the midaxillary line. The inferior border of the triangle is formed by the iliac crest. The anterior </w:t>
      </w:r>
      <w:r w:rsidRPr="00BC01BD">
        <w:rPr>
          <w:rFonts w:asciiTheme="minorBidi" w:hAnsiTheme="minorBidi"/>
          <w:sz w:val="20"/>
        </w:rPr>
        <w:lastRenderedPageBreak/>
        <w:t>border of the triangle is formed by the lateral edge of the external oblique muscle. The posterior border of the triangle is formed by the lateral edge</w:t>
      </w:r>
      <w:r>
        <w:rPr>
          <w:rFonts w:asciiTheme="minorBidi" w:hAnsiTheme="minorBidi"/>
          <w:sz w:val="20"/>
        </w:rPr>
        <w:t xml:space="preserve"> of the latissimus dorsi muscle. The puncture site is just above the iliac crest and just posterior to the midaxillary line within the triangle of petit. After skin disinfection A 24G blunt tipped 50 mm needle </w:t>
      </w:r>
      <w:r>
        <w:rPr>
          <w:rFonts w:asciiTheme="minorBidi" w:eastAsia="Times New Roman" w:hAnsiTheme="minorBidi"/>
          <w:color w:val="000000"/>
          <w:sz w:val="20"/>
        </w:rPr>
        <w:t>was attached with flexible tubing to a syringe filled with the study solution</w:t>
      </w:r>
      <w:r>
        <w:rPr>
          <w:rFonts w:asciiTheme="minorBidi" w:hAnsiTheme="minorBidi"/>
          <w:sz w:val="20"/>
        </w:rPr>
        <w:t xml:space="preserve"> is inserted perpendicular to the skin, and a give or "pop" is felt when the needle passes through the fascial extensions of the internal oblique muscle. The needle tip is therefore between the fascial layers of the external and internal oblique. Further gentle advancement with a second "pop" indicates that the needle has advanced into the fascial plane above transversus abdominis and the needle tip is therefore between the fascial layers of the internal oblique and transversus abdominis muscles. In uTAP group A broad linear array probe is used, with an imaging depth of 4-6 cm. After skin disinfection and protection of the ultrasound probe and cable with a sterile ultrasound probe cover, the ultrasound probe is placed transverse to the abdomen (horizontal plane) in the midaxillary line between the costal margin and the iliac crest. Three muscle layers are clearly seen in the image. A </w:t>
      </w:r>
      <w:r>
        <w:rPr>
          <w:rFonts w:asciiTheme="minorBidi" w:hAnsiTheme="minorBidi"/>
          <w:sz w:val="20"/>
          <w:lang w:bidi="ar-EG"/>
        </w:rPr>
        <w:t>20 G 120 mm sharp ended spinal needle</w:t>
      </w:r>
      <w:r>
        <w:rPr>
          <w:rFonts w:asciiTheme="minorBidi" w:hAnsiTheme="minorBidi"/>
          <w:sz w:val="20"/>
        </w:rPr>
        <w:t xml:space="preserve"> is used. The needle is inserted in a sagital plane approximately 3-4 cm. medial to the ultrasound probe (in-plane technique). The probe is moved slightly anterior to image the skin puncture and superficial course, then gradually posteriorly to the midaxillary line position, following the needle to the correct position in the transversus abdominis plane. A small volume of local anesthetic (1ml) will be injected to open the plane </w:t>
      </w:r>
      <w:proofErr w:type="gramStart"/>
      <w:r>
        <w:rPr>
          <w:rFonts w:asciiTheme="minorBidi" w:hAnsiTheme="minorBidi"/>
          <w:sz w:val="20"/>
        </w:rPr>
        <w:t>If</w:t>
      </w:r>
      <w:proofErr w:type="gramEnd"/>
      <w:r>
        <w:rPr>
          <w:rFonts w:asciiTheme="minorBidi" w:hAnsiTheme="minorBidi"/>
          <w:sz w:val="20"/>
        </w:rPr>
        <w:t xml:space="preserve"> the 1ml dose appears to be within muscle rather than between them, needle adjustment is required. The local anesthetic injectate appears hypoechoic on ultrasound imaging. When the needle tip is positioned correctly the injectate will be seen on ultrasound to spread out in the plane between the two muscles</w:t>
      </w:r>
      <w:r w:rsidRPr="004B14B2">
        <w:rPr>
          <w:rFonts w:asciiTheme="minorBidi" w:hAnsiTheme="minorBidi"/>
          <w:sz w:val="20"/>
        </w:rPr>
        <w:t>.</w:t>
      </w:r>
      <w:r w:rsidR="006224A2" w:rsidRPr="004B14B2">
        <w:rPr>
          <w:rFonts w:asciiTheme="minorBidi" w:hAnsiTheme="minorBidi"/>
          <w:sz w:val="20"/>
        </w:rPr>
        <w:t xml:space="preserve"> In both groups 20ml of 0.25% bupivacaine was injected on each side.</w:t>
      </w:r>
      <w:r w:rsidRPr="004B14B2">
        <w:rPr>
          <w:rFonts w:asciiTheme="minorBidi" w:eastAsia="Times New Roman" w:hAnsiTheme="minorBidi"/>
          <w:color w:val="000000"/>
          <w:sz w:val="20"/>
        </w:rPr>
        <w:t xml:space="preserve"> </w:t>
      </w:r>
    </w:p>
    <w:p w:rsidR="00896039" w:rsidRDefault="00B0764B">
      <w:pPr>
        <w:bidi w:val="0"/>
        <w:spacing w:before="120" w:after="120"/>
        <w:jc w:val="both"/>
        <w:rPr>
          <w:rFonts w:asciiTheme="minorBidi" w:hAnsiTheme="minorBidi"/>
          <w:sz w:val="20"/>
        </w:rPr>
      </w:pPr>
      <w:r w:rsidRPr="004B14B2">
        <w:rPr>
          <w:rFonts w:asciiTheme="minorBidi" w:eastAsia="Times New Roman" w:hAnsiTheme="minorBidi"/>
          <w:sz w:val="20"/>
        </w:rPr>
        <w:t>After completion of the surgical procedure and block</w:t>
      </w:r>
      <w:r w:rsidRPr="004B14B2">
        <w:rPr>
          <w:rFonts w:asciiTheme="minorBidi" w:hAnsiTheme="minorBidi"/>
          <w:sz w:val="20"/>
        </w:rPr>
        <w:t>, postoperat</w:t>
      </w:r>
      <w:r>
        <w:rPr>
          <w:rFonts w:asciiTheme="minorBidi" w:hAnsiTheme="minorBidi"/>
          <w:sz w:val="20"/>
        </w:rPr>
        <w:t>ive analgesia was provided by</w:t>
      </w:r>
      <w:r>
        <w:rPr>
          <w:rFonts w:asciiTheme="minorBidi" w:hAnsiTheme="minorBidi"/>
          <w:b/>
          <w:sz w:val="20"/>
        </w:rPr>
        <w:t xml:space="preserve"> </w:t>
      </w:r>
      <w:r>
        <w:rPr>
          <w:rFonts w:asciiTheme="minorBidi" w:hAnsiTheme="minorBidi"/>
          <w:sz w:val="20"/>
        </w:rPr>
        <w:t>IV acetaminophen 1 gm and ketorolac 30 mg, then regular oral acetaminophen 1 g four times a day and ketorolac 10 mg three times a day were continued for 24 h after the procedure. If Visual analogue pain score exceed 4, rescue analgesia in the form of intravenous morphine based on morphine titration protocol, 3 mg as a bolus dose which could be repeated every 5 minutes with a maximum dose 40 mg/4 hours.The criteria to stop morphine titration protocol were satisfactory pain control, Patient became sedated (Ramsay sedation scale &gt; 2), Respiratory rate &lt; 12 / min, Oxygen saturation &lt; 95% or development of serious adverse effects (allergy, severe vomiting, hypotension).</w:t>
      </w:r>
    </w:p>
    <w:p w:rsidR="00896039" w:rsidRPr="009F083C" w:rsidRDefault="0026460F" w:rsidP="004B14B2">
      <w:pPr>
        <w:bidi w:val="0"/>
        <w:rPr>
          <w:rFonts w:ascii="Arial" w:hAnsi="Arial" w:cs="Arial"/>
          <w:b/>
          <w:sz w:val="20"/>
        </w:rPr>
      </w:pPr>
      <w:r>
        <w:rPr>
          <w:rFonts w:asciiTheme="minorBidi" w:hAnsiTheme="minorBidi"/>
          <w:sz w:val="20"/>
        </w:rPr>
        <w:t>Morphine consumption and t</w:t>
      </w:r>
      <w:r w:rsidR="00B0764B">
        <w:rPr>
          <w:rFonts w:asciiTheme="minorBidi" w:hAnsiTheme="minorBidi"/>
          <w:sz w:val="20"/>
        </w:rPr>
        <w:t>he presence and severity of pain, nausea,</w:t>
      </w:r>
      <w:r w:rsidR="004B14B2">
        <w:rPr>
          <w:rFonts w:asciiTheme="minorBidi" w:hAnsiTheme="minorBidi"/>
          <w:sz w:val="20"/>
        </w:rPr>
        <w:t xml:space="preserve"> vomiting, sedation</w:t>
      </w:r>
      <w:r w:rsidR="00B0764B">
        <w:rPr>
          <w:rFonts w:asciiTheme="minorBidi" w:hAnsiTheme="minorBidi"/>
          <w:sz w:val="20"/>
        </w:rPr>
        <w:t xml:space="preserve"> and </w:t>
      </w:r>
      <w:r w:rsidR="004B14B2">
        <w:rPr>
          <w:rFonts w:asciiTheme="minorBidi" w:hAnsiTheme="minorBidi"/>
          <w:sz w:val="20"/>
        </w:rPr>
        <w:t>pruritus</w:t>
      </w:r>
      <w:r w:rsidR="00B0764B">
        <w:rPr>
          <w:rFonts w:asciiTheme="minorBidi" w:hAnsiTheme="minorBidi"/>
          <w:sz w:val="20"/>
        </w:rPr>
        <w:t xml:space="preserve"> were assessed systematically by </w:t>
      </w:r>
      <w:r w:rsidR="00B0764B" w:rsidRPr="0026460F">
        <w:rPr>
          <w:rFonts w:asciiTheme="minorBidi" w:hAnsiTheme="minorBidi"/>
          <w:sz w:val="20"/>
        </w:rPr>
        <w:t>an investigator</w:t>
      </w:r>
      <w:r w:rsidR="00B0764B">
        <w:rPr>
          <w:rFonts w:asciiTheme="minorBidi" w:hAnsiTheme="minorBidi"/>
          <w:sz w:val="20"/>
        </w:rPr>
        <w:t xml:space="preserve">. These assessments were performed in the PACU and at 2, 4, 8, 12, and 24 h after TAP blockade. All patients were asked to give scores for their pain at rest and on movement (knee flexion) and for the degree of nausea at each time point. Pain severity was measured using visual analog scale (VAS, 10 cm unmarked line in which 0 cm = no pain and 10 cm = worst pain imaginable). Nausea was measured using a categorical scoring system (none = 0; mild = 1; moderate = 2; severe = 3). Nausea was defined as a </w:t>
      </w:r>
      <w:r w:rsidR="00B0764B" w:rsidRPr="009F083C">
        <w:rPr>
          <w:rFonts w:ascii="Arial" w:hAnsi="Arial" w:cs="Arial"/>
          <w:sz w:val="20"/>
        </w:rPr>
        <w:t>nausea score &gt;0 at any postoperative time point. Sedation scores were assigned by the investigator using a Ramsay sedation scale(If Awake;</w:t>
      </w:r>
      <w:r w:rsidR="00B0764B" w:rsidRPr="009F083C">
        <w:rPr>
          <w:rFonts w:ascii="Arial" w:hAnsi="Arial" w:cs="Arial"/>
          <w:i/>
          <w:sz w:val="20"/>
        </w:rPr>
        <w:t xml:space="preserve"> Ramsey 1:</w:t>
      </w:r>
      <w:r w:rsidR="00B0764B" w:rsidRPr="009F083C">
        <w:rPr>
          <w:rFonts w:ascii="Arial" w:hAnsi="Arial" w:cs="Arial"/>
          <w:sz w:val="20"/>
        </w:rPr>
        <w:t xml:space="preserve"> Anxious, agitated, restless, </w:t>
      </w:r>
      <w:r w:rsidR="00B0764B" w:rsidRPr="009F083C">
        <w:rPr>
          <w:rFonts w:ascii="Arial" w:hAnsi="Arial" w:cs="Arial"/>
          <w:i/>
          <w:sz w:val="20"/>
        </w:rPr>
        <w:t>Ramsey2:</w:t>
      </w:r>
      <w:r w:rsidR="00B0764B" w:rsidRPr="009F083C">
        <w:rPr>
          <w:rFonts w:ascii="Arial" w:hAnsi="Arial" w:cs="Arial"/>
          <w:sz w:val="20"/>
        </w:rPr>
        <w:t xml:space="preserve"> Cooperative, oriented, tranquil, </w:t>
      </w:r>
      <w:r w:rsidR="00B0764B" w:rsidRPr="009F083C">
        <w:rPr>
          <w:rFonts w:ascii="Arial" w:hAnsi="Arial" w:cs="Arial"/>
          <w:i/>
          <w:sz w:val="20"/>
        </w:rPr>
        <w:t>Ramsey 3:</w:t>
      </w:r>
      <w:r w:rsidR="00B0764B" w:rsidRPr="009F083C">
        <w:rPr>
          <w:rFonts w:ascii="Arial" w:hAnsi="Arial" w:cs="Arial"/>
          <w:sz w:val="20"/>
        </w:rPr>
        <w:t xml:space="preserve"> Responsive to commands only. If Asleep; </w:t>
      </w:r>
      <w:r w:rsidR="00B0764B" w:rsidRPr="009F083C">
        <w:rPr>
          <w:rFonts w:ascii="Arial" w:hAnsi="Arial" w:cs="Arial"/>
          <w:i/>
          <w:sz w:val="20"/>
        </w:rPr>
        <w:t xml:space="preserve">Ramsey 4: </w:t>
      </w:r>
      <w:r w:rsidR="00B0764B" w:rsidRPr="009F083C">
        <w:rPr>
          <w:rFonts w:ascii="Arial" w:hAnsi="Arial" w:cs="Arial"/>
          <w:sz w:val="20"/>
        </w:rPr>
        <w:t xml:space="preserve">Brisk response to light glabellar tap or loud auditory stimulus, </w:t>
      </w:r>
      <w:r w:rsidR="00B0764B" w:rsidRPr="009F083C">
        <w:rPr>
          <w:rFonts w:ascii="Arial" w:hAnsi="Arial" w:cs="Arial"/>
          <w:i/>
          <w:sz w:val="20"/>
        </w:rPr>
        <w:t>Ramsey 5</w:t>
      </w:r>
      <w:r w:rsidR="00B0764B" w:rsidRPr="009F083C">
        <w:rPr>
          <w:rFonts w:ascii="Arial" w:hAnsi="Arial" w:cs="Arial"/>
          <w:sz w:val="20"/>
        </w:rPr>
        <w:t>: Sluggish response to light glabellar tap or loud auditory stimulus) the presence of sedation was defined as a sedation scale &gt; 2 at any postoperative time point.</w:t>
      </w:r>
      <w:r w:rsidR="00B0764B" w:rsidRPr="009F083C">
        <w:rPr>
          <w:rFonts w:ascii="Arial" w:eastAsia="Times New Roman" w:hAnsi="Arial" w:cs="Arial"/>
          <w:sz w:val="20"/>
        </w:rPr>
        <w:t xml:space="preserve"> Rescue antiemetics were offered to any patient who complained of nausea or vomiting. The study ended 24 h after TAP blockade.</w:t>
      </w:r>
    </w:p>
    <w:p w:rsidR="00896039" w:rsidRPr="009F083C" w:rsidRDefault="00B0764B" w:rsidP="00B72466">
      <w:pPr>
        <w:bidi w:val="0"/>
        <w:spacing w:before="75" w:after="75"/>
        <w:rPr>
          <w:rFonts w:ascii="Arial" w:eastAsia="Times New Roman" w:hAnsi="Arial" w:cs="Arial"/>
          <w:color w:val="000000"/>
          <w:sz w:val="20"/>
          <w:highlight w:val="yellow"/>
        </w:rPr>
      </w:pPr>
      <w:r w:rsidRPr="009F083C">
        <w:rPr>
          <w:rFonts w:ascii="Arial" w:eastAsia="Times New Roman" w:hAnsi="Arial" w:cs="Arial"/>
          <w:color w:val="000000"/>
          <w:sz w:val="20"/>
        </w:rPr>
        <w:t xml:space="preserve">The primary outcome measure in this study was 24 h morphine consumption. Secondary outcome measures included VAS scores, and side effects associated with morphine consumption. </w:t>
      </w:r>
    </w:p>
    <w:p w:rsidR="0026460F" w:rsidRPr="0026460F" w:rsidRDefault="00B0764B" w:rsidP="0026460F">
      <w:pPr>
        <w:bidi w:val="0"/>
        <w:spacing w:before="75" w:after="75"/>
        <w:rPr>
          <w:rFonts w:ascii="Arial" w:eastAsia="Times New Roman" w:hAnsi="Arial" w:cs="Arial"/>
          <w:color w:val="000000"/>
          <w:sz w:val="20"/>
        </w:rPr>
      </w:pPr>
      <w:r w:rsidRPr="009F083C">
        <w:rPr>
          <w:rFonts w:ascii="Arial" w:eastAsia="Times New Roman" w:hAnsi="Arial" w:cs="Arial"/>
          <w:color w:val="000000"/>
          <w:sz w:val="20"/>
        </w:rPr>
        <w:lastRenderedPageBreak/>
        <w:t>Statistical analyses were performed using a standard statistical program (</w:t>
      </w:r>
      <w:r w:rsidRPr="009F083C">
        <w:rPr>
          <w:rFonts w:ascii="Arial" w:hAnsi="Arial" w:cs="Arial"/>
          <w:sz w:val="20"/>
        </w:rPr>
        <w:t>SPSS version 16</w:t>
      </w:r>
      <w:r w:rsidRPr="009F083C">
        <w:rPr>
          <w:rFonts w:ascii="Arial" w:eastAsia="Times New Roman" w:hAnsi="Arial" w:cs="Arial"/>
          <w:color w:val="000000"/>
          <w:sz w:val="20"/>
        </w:rPr>
        <w:t xml:space="preserve">). </w:t>
      </w:r>
      <w:r w:rsidR="0026460F" w:rsidRPr="0026460F">
        <w:rPr>
          <w:rFonts w:ascii="Arial" w:hAnsi="Arial" w:cs="Arial"/>
          <w:sz w:val="20"/>
        </w:rPr>
        <w:t xml:space="preserve">Quantitative data was presented as mean ± Standard </w:t>
      </w:r>
      <w:r w:rsidR="0026460F">
        <w:rPr>
          <w:rFonts w:ascii="Arial" w:hAnsi="Arial" w:cs="Arial"/>
          <w:sz w:val="20"/>
        </w:rPr>
        <w:t xml:space="preserve">deviation, </w:t>
      </w:r>
      <w:r w:rsidR="0026460F" w:rsidRPr="0026460F">
        <w:rPr>
          <w:rFonts w:ascii="Arial" w:hAnsi="Arial" w:cs="Arial"/>
          <w:sz w:val="20"/>
        </w:rPr>
        <w:t>Qualitative data was prese</w:t>
      </w:r>
      <w:r w:rsidR="0026460F">
        <w:rPr>
          <w:rFonts w:ascii="Arial" w:hAnsi="Arial" w:cs="Arial"/>
          <w:sz w:val="20"/>
        </w:rPr>
        <w:t xml:space="preserve">nted as numbers and percentages, </w:t>
      </w:r>
      <w:r w:rsidR="0026460F" w:rsidRPr="0026460F">
        <w:rPr>
          <w:rFonts w:ascii="Arial" w:hAnsi="Arial" w:cs="Arial"/>
          <w:sz w:val="20"/>
        </w:rPr>
        <w:t>Quantitative data was analyzed b</w:t>
      </w:r>
      <w:r w:rsidR="0026460F">
        <w:rPr>
          <w:rFonts w:ascii="Arial" w:hAnsi="Arial" w:cs="Arial"/>
          <w:sz w:val="20"/>
        </w:rPr>
        <w:t xml:space="preserve">y using unpaired student t-test, </w:t>
      </w:r>
      <w:r w:rsidR="0026460F" w:rsidRPr="0026460F">
        <w:rPr>
          <w:rFonts w:ascii="Arial" w:hAnsi="Arial" w:cs="Arial"/>
          <w:sz w:val="20"/>
        </w:rPr>
        <w:t>Quantitative data in the same group was analysed by us</w:t>
      </w:r>
      <w:r w:rsidR="0026460F">
        <w:rPr>
          <w:rFonts w:ascii="Arial" w:hAnsi="Arial" w:cs="Arial"/>
          <w:sz w:val="20"/>
        </w:rPr>
        <w:t xml:space="preserve">ing repeated measure ANOVA test, </w:t>
      </w:r>
      <w:r w:rsidR="0026460F" w:rsidRPr="0026460F">
        <w:rPr>
          <w:rFonts w:ascii="Arial" w:hAnsi="Arial" w:cs="Arial"/>
          <w:sz w:val="20"/>
        </w:rPr>
        <w:t>Qualitative data was analyzed by u</w:t>
      </w:r>
      <w:r w:rsidR="0026460F">
        <w:rPr>
          <w:rFonts w:ascii="Arial" w:hAnsi="Arial" w:cs="Arial"/>
          <w:sz w:val="20"/>
        </w:rPr>
        <w:t xml:space="preserve">sing Chi-square test and Z test, </w:t>
      </w:r>
      <w:r w:rsidR="0026460F" w:rsidRPr="0026460F">
        <w:rPr>
          <w:rFonts w:ascii="Arial" w:hAnsi="Arial" w:cs="Arial"/>
          <w:sz w:val="20"/>
        </w:rPr>
        <w:t>P – Value &lt; 0.05 was consi</w:t>
      </w:r>
      <w:r w:rsidR="0026460F">
        <w:rPr>
          <w:rFonts w:ascii="Arial" w:hAnsi="Arial" w:cs="Arial"/>
          <w:sz w:val="20"/>
        </w:rPr>
        <w:t xml:space="preserve">dered statistically significant, </w:t>
      </w:r>
      <w:r w:rsidR="0026460F" w:rsidRPr="0026460F">
        <w:rPr>
          <w:rFonts w:ascii="Arial" w:hAnsi="Arial" w:cs="Arial"/>
          <w:sz w:val="20"/>
        </w:rPr>
        <w:t>P – Value &lt; 0.01 was considered statistically highly significant.</w:t>
      </w:r>
    </w:p>
    <w:p w:rsidR="00896039" w:rsidRPr="009267EB" w:rsidRDefault="00B0764B">
      <w:pPr>
        <w:bidi w:val="0"/>
        <w:spacing w:before="375" w:after="225" w:line="240" w:lineRule="auto"/>
        <w:rPr>
          <w:rFonts w:ascii="Arial" w:eastAsia="Times New Roman" w:hAnsi="Arial" w:cs="Arial"/>
          <w:b/>
          <w:color w:val="000000"/>
        </w:rPr>
      </w:pPr>
      <w:r w:rsidRPr="009267EB">
        <w:rPr>
          <w:rFonts w:ascii="Arial" w:eastAsia="Times New Roman" w:hAnsi="Arial" w:cs="Arial"/>
          <w:b/>
          <w:color w:val="000000"/>
        </w:rPr>
        <w:t>RESULTS</w:t>
      </w:r>
      <w:r w:rsidR="009267EB" w:rsidRPr="009267EB">
        <w:rPr>
          <w:rFonts w:ascii="Arial" w:eastAsia="Times New Roman" w:hAnsi="Arial" w:cs="Arial"/>
          <w:b/>
          <w:color w:val="000000"/>
        </w:rPr>
        <w:t>:</w:t>
      </w:r>
    </w:p>
    <w:p w:rsidR="00896039" w:rsidRPr="009F083C" w:rsidRDefault="00B0764B">
      <w:pPr>
        <w:bidi w:val="0"/>
        <w:spacing w:before="75" w:after="75" w:line="240" w:lineRule="auto"/>
        <w:rPr>
          <w:rFonts w:ascii="Arial" w:eastAsia="Times New Roman" w:hAnsi="Arial" w:cs="Arial"/>
          <w:color w:val="000000"/>
          <w:sz w:val="20"/>
        </w:rPr>
      </w:pPr>
      <w:r w:rsidRPr="009F083C">
        <w:rPr>
          <w:rFonts w:ascii="Arial" w:eastAsia="Times New Roman" w:hAnsi="Arial" w:cs="Arial"/>
          <w:color w:val="000000"/>
          <w:sz w:val="20"/>
        </w:rPr>
        <w:t>Sixty patients were entered into the study. 30 were randomized to undergo TAP blockade with conventional technique, and 30 were randomized to undergo TAP blockade with ultrasound-guided technique.</w:t>
      </w:r>
    </w:p>
    <w:p w:rsidR="00896039" w:rsidRPr="009F083C" w:rsidRDefault="00B0764B">
      <w:pPr>
        <w:bidi w:val="0"/>
        <w:spacing w:before="75" w:after="75" w:line="240" w:lineRule="auto"/>
        <w:rPr>
          <w:rFonts w:ascii="Arial" w:eastAsia="Times New Roman" w:hAnsi="Arial" w:cs="Arial"/>
          <w:color w:val="000000"/>
          <w:sz w:val="24"/>
          <w:lang w:val="en-AU"/>
        </w:rPr>
      </w:pPr>
      <w:r w:rsidRPr="009F083C">
        <w:rPr>
          <w:rFonts w:ascii="Arial" w:eastAsia="Times New Roman" w:hAnsi="Arial" w:cs="Arial"/>
          <w:color w:val="000000"/>
          <w:sz w:val="20"/>
        </w:rPr>
        <w:t xml:space="preserve">Groups were comparable in terms of age, weight, height and type of surgery </w:t>
      </w:r>
      <w:r w:rsidRPr="009F083C">
        <w:rPr>
          <w:rFonts w:ascii="Arial" w:hAnsi="Arial" w:cs="Arial"/>
        </w:rPr>
        <w:t>(</w:t>
      </w:r>
      <w:hyperlink r:id="rId12" w:history="1">
        <w:r w:rsidRPr="009F083C">
          <w:rPr>
            <w:rFonts w:ascii="Arial" w:hAnsi="Arial" w:cs="Arial"/>
          </w:rPr>
          <w:t>Table 1</w:t>
        </w:r>
      </w:hyperlink>
      <w:r w:rsidRPr="009F083C">
        <w:rPr>
          <w:rFonts w:ascii="Arial" w:eastAsia="Times New Roman" w:hAnsi="Arial" w:cs="Arial"/>
          <w:color w:val="000000"/>
          <w:sz w:val="20"/>
        </w:rPr>
        <w:t>). TAP block was performed either by conventional or ultrasound-guided technique according to the patient group, and the block performed without complication.</w:t>
      </w:r>
    </w:p>
    <w:p w:rsidR="00896039" w:rsidRPr="009F083C" w:rsidRDefault="00B0764B">
      <w:pPr>
        <w:bidi w:val="0"/>
        <w:spacing w:before="75" w:after="75" w:line="240" w:lineRule="auto"/>
        <w:rPr>
          <w:rFonts w:ascii="Arial" w:eastAsia="Times New Roman" w:hAnsi="Arial" w:cs="Arial"/>
          <w:b/>
          <w:color w:val="000000"/>
        </w:rPr>
      </w:pPr>
      <w:r w:rsidRPr="009F083C">
        <w:rPr>
          <w:rFonts w:ascii="Arial" w:eastAsia="Times New Roman" w:hAnsi="Arial" w:cs="Arial"/>
          <w:b/>
          <w:color w:val="000000"/>
          <w:lang w:val="en-AU"/>
        </w:rPr>
        <w:t>Table 1</w:t>
      </w:r>
    </w:p>
    <w:p w:rsidR="00896039" w:rsidRPr="009F083C" w:rsidRDefault="00B0764B">
      <w:pPr>
        <w:shd w:val="clear" w:color="auto" w:fill="FFFFFF"/>
        <w:bidi w:val="0"/>
        <w:spacing w:line="240" w:lineRule="auto"/>
        <w:rPr>
          <w:rFonts w:ascii="Arial" w:eastAsia="Times New Roman" w:hAnsi="Arial" w:cs="Arial"/>
          <w:i/>
          <w:lang w:val="en-AU"/>
        </w:rPr>
      </w:pPr>
      <w:r w:rsidRPr="009F083C">
        <w:rPr>
          <w:rFonts w:ascii="Arial" w:eastAsia="Times New Roman" w:hAnsi="Arial" w:cs="Arial"/>
          <w:i/>
          <w:lang w:val="en-AU"/>
        </w:rPr>
        <w:t xml:space="preserve">Patient </w:t>
      </w:r>
      <w:r w:rsidRPr="009F083C">
        <w:rPr>
          <w:rFonts w:ascii="Arial" w:hAnsi="Arial" w:cs="Arial"/>
          <w:i/>
          <w:lang w:val="en-AU"/>
        </w:rPr>
        <w:t>Characteristics</w:t>
      </w:r>
    </w:p>
    <w:tbl>
      <w:tblPr>
        <w:tblStyle w:val="TableGrid"/>
        <w:tblW w:w="9215" w:type="dxa"/>
        <w:jc w:val="center"/>
        <w:tblInd w:w="-17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911"/>
        <w:gridCol w:w="337"/>
        <w:gridCol w:w="1574"/>
        <w:gridCol w:w="2920"/>
        <w:gridCol w:w="2473"/>
      </w:tblGrid>
      <w:tr w:rsidR="00896039">
        <w:trPr>
          <w:jc w:val="center"/>
        </w:trPr>
        <w:tc>
          <w:tcPr>
            <w:tcW w:w="3822" w:type="dxa"/>
            <w:gridSpan w:val="3"/>
            <w:tcBorders>
              <w:bottom w:val="single" w:sz="12" w:space="0" w:color="auto"/>
              <w:right w:val="single" w:sz="12" w:space="0" w:color="auto"/>
            </w:tcBorders>
            <w:shd w:val="clear" w:color="auto" w:fill="A6A6A6" w:themeFill="background1" w:themeFillShade="A6"/>
          </w:tcPr>
          <w:p w:rsidR="00896039" w:rsidRDefault="00896039">
            <w:pPr>
              <w:bidi w:val="0"/>
              <w:jc w:val="center"/>
            </w:pPr>
          </w:p>
        </w:tc>
        <w:tc>
          <w:tcPr>
            <w:tcW w:w="2920" w:type="dxa"/>
            <w:tcBorders>
              <w:left w:val="single" w:sz="12" w:space="0" w:color="auto"/>
              <w:bottom w:val="single" w:sz="12" w:space="0" w:color="auto"/>
              <w:right w:val="single" w:sz="12" w:space="0" w:color="auto"/>
            </w:tcBorders>
            <w:shd w:val="clear" w:color="auto" w:fill="A6A6A6" w:themeFill="background1" w:themeFillShade="A6"/>
          </w:tcPr>
          <w:p w:rsidR="00896039" w:rsidRDefault="00B0764B">
            <w:pPr>
              <w:bidi w:val="0"/>
              <w:jc w:val="center"/>
              <w:rPr>
                <w:b/>
              </w:rPr>
            </w:pPr>
            <w:r>
              <w:rPr>
                <w:b/>
              </w:rPr>
              <w:t>Group I (</w:t>
            </w:r>
            <w:r>
              <w:rPr>
                <w:rFonts w:asciiTheme="majorBidi" w:hAnsiTheme="majorBidi" w:cstheme="majorBidi"/>
                <w:b/>
              </w:rPr>
              <w:t>cTAP</w:t>
            </w:r>
            <w:r>
              <w:rPr>
                <w:b/>
              </w:rPr>
              <w:t>)</w:t>
            </w:r>
          </w:p>
          <w:p w:rsidR="00896039" w:rsidRDefault="00B0764B">
            <w:pPr>
              <w:bidi w:val="0"/>
              <w:jc w:val="center"/>
              <w:rPr>
                <w:b/>
              </w:rPr>
            </w:pPr>
            <w:r>
              <w:rPr>
                <w:b/>
              </w:rPr>
              <w:t>(n=30)</w:t>
            </w:r>
          </w:p>
        </w:tc>
        <w:tc>
          <w:tcPr>
            <w:tcW w:w="2473" w:type="dxa"/>
            <w:tcBorders>
              <w:left w:val="single" w:sz="12" w:space="0" w:color="auto"/>
              <w:bottom w:val="single" w:sz="12" w:space="0" w:color="auto"/>
              <w:right w:val="single" w:sz="12" w:space="0" w:color="auto"/>
            </w:tcBorders>
            <w:shd w:val="clear" w:color="auto" w:fill="A6A6A6" w:themeFill="background1" w:themeFillShade="A6"/>
          </w:tcPr>
          <w:p w:rsidR="00896039" w:rsidRDefault="00B0764B">
            <w:pPr>
              <w:bidi w:val="0"/>
              <w:jc w:val="center"/>
              <w:rPr>
                <w:b/>
              </w:rPr>
            </w:pPr>
            <w:r>
              <w:rPr>
                <w:b/>
              </w:rPr>
              <w:t xml:space="preserve">Group </w:t>
            </w:r>
            <w:r>
              <w:rPr>
                <w:rFonts w:ascii="F2" w:hAnsi="F2" w:cs="F2"/>
                <w:b/>
                <w:sz w:val="15"/>
              </w:rPr>
              <w:t>II</w:t>
            </w:r>
            <w:r>
              <w:rPr>
                <w:b/>
              </w:rPr>
              <w:t xml:space="preserve">  (uTAP)</w:t>
            </w:r>
          </w:p>
          <w:p w:rsidR="00896039" w:rsidRDefault="00B0764B">
            <w:pPr>
              <w:bidi w:val="0"/>
              <w:jc w:val="center"/>
              <w:rPr>
                <w:b/>
              </w:rPr>
            </w:pPr>
            <w:r>
              <w:rPr>
                <w:b/>
              </w:rPr>
              <w:t>(n=30)</w:t>
            </w:r>
          </w:p>
        </w:tc>
      </w:tr>
      <w:tr w:rsidR="00896039">
        <w:trPr>
          <w:jc w:val="center"/>
        </w:trPr>
        <w:tc>
          <w:tcPr>
            <w:tcW w:w="3822" w:type="dxa"/>
            <w:gridSpan w:val="3"/>
            <w:tcBorders>
              <w:top w:val="single" w:sz="12" w:space="0" w:color="auto"/>
              <w:bottom w:val="single" w:sz="12" w:space="0" w:color="auto"/>
              <w:right w:val="single" w:sz="12" w:space="0" w:color="auto"/>
            </w:tcBorders>
            <w:shd w:val="clear" w:color="auto" w:fill="A6A6A6" w:themeFill="background1" w:themeFillShade="A6"/>
          </w:tcPr>
          <w:p w:rsidR="00896039" w:rsidRDefault="00B0764B">
            <w:pPr>
              <w:bidi w:val="0"/>
              <w:jc w:val="center"/>
              <w:rPr>
                <w:b/>
              </w:rPr>
            </w:pPr>
            <w:r>
              <w:rPr>
                <w:b/>
              </w:rPr>
              <w:t>Age(years)</w:t>
            </w:r>
          </w:p>
        </w:tc>
        <w:tc>
          <w:tcPr>
            <w:tcW w:w="2920" w:type="dxa"/>
            <w:tcBorders>
              <w:top w:val="single" w:sz="12" w:space="0" w:color="auto"/>
              <w:left w:val="single" w:sz="12" w:space="0" w:color="auto"/>
              <w:bottom w:val="single" w:sz="12" w:space="0" w:color="auto"/>
              <w:right w:val="single" w:sz="12" w:space="0" w:color="auto"/>
            </w:tcBorders>
          </w:tcPr>
          <w:p w:rsidR="00896039" w:rsidRDefault="00B0764B">
            <w:pPr>
              <w:bidi w:val="0"/>
              <w:jc w:val="center"/>
              <w:rPr>
                <w:rFonts w:ascii="Calibri" w:hAnsi="Calibri"/>
                <w:color w:val="000000"/>
              </w:rPr>
            </w:pPr>
            <w:r>
              <w:rPr>
                <w:rFonts w:ascii="Calibri" w:hAnsi="Calibri"/>
                <w:color w:val="000000"/>
              </w:rPr>
              <w:t>37.46</w:t>
            </w:r>
            <w:r>
              <w:rPr>
                <w:rFonts w:asciiTheme="majorBidi" w:hAnsiTheme="majorBidi" w:cstheme="majorBidi"/>
                <w:sz w:val="28"/>
              </w:rPr>
              <w:t>±</w:t>
            </w:r>
            <w:r>
              <w:t xml:space="preserve"> </w:t>
            </w:r>
            <w:r>
              <w:rPr>
                <w:rFonts w:ascii="Calibri" w:hAnsi="Calibri"/>
                <w:color w:val="000000"/>
              </w:rPr>
              <w:t>13.29</w:t>
            </w:r>
          </w:p>
        </w:tc>
        <w:tc>
          <w:tcPr>
            <w:tcW w:w="2473" w:type="dxa"/>
            <w:tcBorders>
              <w:top w:val="single" w:sz="12" w:space="0" w:color="auto"/>
              <w:left w:val="single" w:sz="12" w:space="0" w:color="auto"/>
              <w:bottom w:val="single" w:sz="12" w:space="0" w:color="auto"/>
              <w:right w:val="single" w:sz="12" w:space="0" w:color="auto"/>
            </w:tcBorders>
          </w:tcPr>
          <w:p w:rsidR="00896039" w:rsidRDefault="00B0764B">
            <w:pPr>
              <w:bidi w:val="0"/>
              <w:jc w:val="center"/>
            </w:pPr>
            <w:r>
              <w:rPr>
                <w:rFonts w:ascii="Calibri" w:hAnsi="Calibri"/>
                <w:color w:val="000000"/>
              </w:rPr>
              <w:t>35.73</w:t>
            </w:r>
            <w:r>
              <w:rPr>
                <w:rFonts w:asciiTheme="majorBidi" w:hAnsiTheme="majorBidi" w:cstheme="majorBidi"/>
                <w:sz w:val="28"/>
              </w:rPr>
              <w:t xml:space="preserve"> ±</w:t>
            </w:r>
            <w:r>
              <w:t xml:space="preserve"> </w:t>
            </w:r>
            <w:r>
              <w:rPr>
                <w:rFonts w:ascii="Calibri" w:hAnsi="Calibri"/>
                <w:color w:val="000000"/>
              </w:rPr>
              <w:t>14.21</w:t>
            </w:r>
          </w:p>
        </w:tc>
      </w:tr>
      <w:tr w:rsidR="00896039">
        <w:trPr>
          <w:jc w:val="center"/>
        </w:trPr>
        <w:tc>
          <w:tcPr>
            <w:tcW w:w="3822" w:type="dxa"/>
            <w:gridSpan w:val="3"/>
            <w:tcBorders>
              <w:top w:val="single" w:sz="12" w:space="0" w:color="auto"/>
              <w:bottom w:val="single" w:sz="12" w:space="0" w:color="auto"/>
              <w:right w:val="single" w:sz="12" w:space="0" w:color="auto"/>
            </w:tcBorders>
            <w:shd w:val="clear" w:color="auto" w:fill="A6A6A6" w:themeFill="background1" w:themeFillShade="A6"/>
          </w:tcPr>
          <w:p w:rsidR="00896039" w:rsidRDefault="00B0764B">
            <w:pPr>
              <w:bidi w:val="0"/>
              <w:jc w:val="center"/>
              <w:rPr>
                <w:b/>
              </w:rPr>
            </w:pPr>
            <w:r>
              <w:rPr>
                <w:b/>
              </w:rPr>
              <w:t>Weight(Kg)</w:t>
            </w:r>
          </w:p>
        </w:tc>
        <w:tc>
          <w:tcPr>
            <w:tcW w:w="2920" w:type="dxa"/>
            <w:tcBorders>
              <w:top w:val="single" w:sz="12" w:space="0" w:color="auto"/>
              <w:left w:val="single" w:sz="12" w:space="0" w:color="auto"/>
              <w:bottom w:val="single" w:sz="12" w:space="0" w:color="auto"/>
              <w:right w:val="single" w:sz="12" w:space="0" w:color="auto"/>
            </w:tcBorders>
          </w:tcPr>
          <w:p w:rsidR="00896039" w:rsidRDefault="00B0764B">
            <w:pPr>
              <w:bidi w:val="0"/>
              <w:jc w:val="center"/>
            </w:pPr>
            <w:r>
              <w:t xml:space="preserve">72.13 </w:t>
            </w:r>
            <w:r>
              <w:rPr>
                <w:rFonts w:asciiTheme="majorBidi" w:hAnsiTheme="majorBidi" w:cstheme="majorBidi"/>
                <w:sz w:val="28"/>
              </w:rPr>
              <w:t>±</w:t>
            </w:r>
            <w:r>
              <w:t xml:space="preserve"> 11.07</w:t>
            </w:r>
          </w:p>
        </w:tc>
        <w:tc>
          <w:tcPr>
            <w:tcW w:w="2473" w:type="dxa"/>
            <w:tcBorders>
              <w:top w:val="single" w:sz="12" w:space="0" w:color="auto"/>
              <w:left w:val="single" w:sz="12" w:space="0" w:color="auto"/>
              <w:bottom w:val="single" w:sz="12" w:space="0" w:color="auto"/>
              <w:right w:val="single" w:sz="12" w:space="0" w:color="auto"/>
            </w:tcBorders>
          </w:tcPr>
          <w:p w:rsidR="00896039" w:rsidRDefault="00B0764B">
            <w:pPr>
              <w:bidi w:val="0"/>
              <w:jc w:val="center"/>
            </w:pPr>
            <w:r>
              <w:t xml:space="preserve">73 </w:t>
            </w:r>
            <w:r>
              <w:rPr>
                <w:rFonts w:asciiTheme="majorBidi" w:hAnsiTheme="majorBidi" w:cstheme="majorBidi"/>
                <w:sz w:val="28"/>
              </w:rPr>
              <w:t>±</w:t>
            </w:r>
            <w:r>
              <w:t xml:space="preserve"> 10.37</w:t>
            </w:r>
          </w:p>
        </w:tc>
      </w:tr>
      <w:tr w:rsidR="00896039">
        <w:trPr>
          <w:jc w:val="center"/>
        </w:trPr>
        <w:tc>
          <w:tcPr>
            <w:tcW w:w="3822" w:type="dxa"/>
            <w:gridSpan w:val="3"/>
            <w:tcBorders>
              <w:top w:val="single" w:sz="12" w:space="0" w:color="auto"/>
              <w:right w:val="single" w:sz="12" w:space="0" w:color="auto"/>
            </w:tcBorders>
            <w:shd w:val="clear" w:color="auto" w:fill="A6A6A6" w:themeFill="background1" w:themeFillShade="A6"/>
          </w:tcPr>
          <w:p w:rsidR="00896039" w:rsidRDefault="00B0764B">
            <w:pPr>
              <w:bidi w:val="0"/>
              <w:jc w:val="center"/>
              <w:rPr>
                <w:b/>
              </w:rPr>
            </w:pPr>
            <w:r>
              <w:rPr>
                <w:b/>
              </w:rPr>
              <w:t>Height(Cm)</w:t>
            </w:r>
          </w:p>
        </w:tc>
        <w:tc>
          <w:tcPr>
            <w:tcW w:w="2920" w:type="dxa"/>
            <w:tcBorders>
              <w:top w:val="single" w:sz="12" w:space="0" w:color="auto"/>
              <w:left w:val="single" w:sz="12" w:space="0" w:color="auto"/>
              <w:bottom w:val="single" w:sz="12" w:space="0" w:color="auto"/>
              <w:right w:val="single" w:sz="12" w:space="0" w:color="auto"/>
            </w:tcBorders>
          </w:tcPr>
          <w:p w:rsidR="00896039" w:rsidRDefault="00B0764B">
            <w:pPr>
              <w:bidi w:val="0"/>
              <w:jc w:val="center"/>
            </w:pPr>
            <w:r>
              <w:t>160.4</w:t>
            </w:r>
            <w:r>
              <w:rPr>
                <w:rFonts w:asciiTheme="majorBidi" w:hAnsiTheme="majorBidi" w:cstheme="majorBidi"/>
                <w:sz w:val="28"/>
              </w:rPr>
              <w:t>±</w:t>
            </w:r>
            <w:r>
              <w:t xml:space="preserve"> 5.66</w:t>
            </w:r>
          </w:p>
        </w:tc>
        <w:tc>
          <w:tcPr>
            <w:tcW w:w="2473" w:type="dxa"/>
            <w:tcBorders>
              <w:top w:val="single" w:sz="12" w:space="0" w:color="auto"/>
              <w:left w:val="single" w:sz="12" w:space="0" w:color="auto"/>
              <w:bottom w:val="single" w:sz="12" w:space="0" w:color="auto"/>
              <w:right w:val="single" w:sz="12" w:space="0" w:color="auto"/>
            </w:tcBorders>
          </w:tcPr>
          <w:p w:rsidR="00896039" w:rsidRDefault="00B0764B">
            <w:pPr>
              <w:bidi w:val="0"/>
              <w:jc w:val="center"/>
            </w:pPr>
            <w:r>
              <w:t xml:space="preserve">159.93 </w:t>
            </w:r>
            <w:r>
              <w:rPr>
                <w:rFonts w:asciiTheme="majorBidi" w:hAnsiTheme="majorBidi" w:cstheme="majorBidi"/>
                <w:sz w:val="28"/>
              </w:rPr>
              <w:t>±</w:t>
            </w:r>
            <w:r>
              <w:t xml:space="preserve"> 6.12</w:t>
            </w:r>
          </w:p>
        </w:tc>
      </w:tr>
      <w:tr w:rsidR="00896039">
        <w:trPr>
          <w:trHeight w:val="116"/>
          <w:jc w:val="center"/>
        </w:trPr>
        <w:tc>
          <w:tcPr>
            <w:tcW w:w="2248" w:type="dxa"/>
            <w:gridSpan w:val="2"/>
            <w:vMerge w:val="restart"/>
            <w:tcBorders>
              <w:top w:val="single" w:sz="12" w:space="0" w:color="auto"/>
              <w:right w:val="single" w:sz="12" w:space="0" w:color="auto"/>
            </w:tcBorders>
            <w:shd w:val="clear" w:color="auto" w:fill="A6A6A6" w:themeFill="background1" w:themeFillShade="A6"/>
          </w:tcPr>
          <w:p w:rsidR="00896039" w:rsidRDefault="00896039">
            <w:pPr>
              <w:tabs>
                <w:tab w:val="left" w:pos="1344"/>
              </w:tabs>
              <w:bidi w:val="0"/>
              <w:jc w:val="center"/>
              <w:rPr>
                <w:b/>
              </w:rPr>
            </w:pPr>
          </w:p>
          <w:p w:rsidR="00896039" w:rsidRDefault="00B0764B">
            <w:pPr>
              <w:tabs>
                <w:tab w:val="left" w:pos="1344"/>
              </w:tabs>
              <w:bidi w:val="0"/>
              <w:jc w:val="center"/>
              <w:rPr>
                <w:b/>
              </w:rPr>
            </w:pPr>
            <w:r>
              <w:rPr>
                <w:b/>
              </w:rPr>
              <w:t>ASA Status</w:t>
            </w:r>
          </w:p>
        </w:tc>
        <w:tc>
          <w:tcPr>
            <w:tcW w:w="1574" w:type="dxa"/>
            <w:tcBorders>
              <w:top w:val="single" w:sz="12" w:space="0" w:color="auto"/>
              <w:left w:val="single" w:sz="12" w:space="0" w:color="auto"/>
              <w:right w:val="single" w:sz="12" w:space="0" w:color="auto"/>
            </w:tcBorders>
            <w:shd w:val="clear" w:color="auto" w:fill="D9D9D9" w:themeFill="background1" w:themeFillShade="D9"/>
          </w:tcPr>
          <w:p w:rsidR="00896039" w:rsidRDefault="00B0764B">
            <w:pPr>
              <w:tabs>
                <w:tab w:val="left" w:pos="1344"/>
              </w:tabs>
              <w:bidi w:val="0"/>
              <w:jc w:val="center"/>
              <w:rPr>
                <w:b/>
              </w:rPr>
            </w:pPr>
            <w:r>
              <w:rPr>
                <w:b/>
              </w:rPr>
              <w:t>I</w:t>
            </w:r>
          </w:p>
        </w:tc>
        <w:tc>
          <w:tcPr>
            <w:tcW w:w="2920" w:type="dxa"/>
            <w:tcBorders>
              <w:top w:val="single" w:sz="12" w:space="0" w:color="auto"/>
              <w:left w:val="single" w:sz="12" w:space="0" w:color="auto"/>
              <w:right w:val="single" w:sz="12" w:space="0" w:color="auto"/>
            </w:tcBorders>
          </w:tcPr>
          <w:p w:rsidR="00896039" w:rsidRDefault="00B0764B">
            <w:pPr>
              <w:bidi w:val="0"/>
              <w:jc w:val="center"/>
            </w:pPr>
            <w:r>
              <w:t xml:space="preserve">6 </w:t>
            </w:r>
          </w:p>
        </w:tc>
        <w:tc>
          <w:tcPr>
            <w:tcW w:w="2473" w:type="dxa"/>
            <w:tcBorders>
              <w:top w:val="single" w:sz="12" w:space="0" w:color="auto"/>
              <w:left w:val="single" w:sz="12" w:space="0" w:color="auto"/>
              <w:right w:val="single" w:sz="12" w:space="0" w:color="auto"/>
            </w:tcBorders>
          </w:tcPr>
          <w:p w:rsidR="00896039" w:rsidRDefault="00B0764B">
            <w:pPr>
              <w:bidi w:val="0"/>
              <w:jc w:val="center"/>
            </w:pPr>
            <w:r>
              <w:t xml:space="preserve">4 </w:t>
            </w:r>
          </w:p>
        </w:tc>
      </w:tr>
      <w:tr w:rsidR="00896039">
        <w:trPr>
          <w:trHeight w:val="115"/>
          <w:jc w:val="center"/>
        </w:trPr>
        <w:tc>
          <w:tcPr>
            <w:tcW w:w="2248" w:type="dxa"/>
            <w:gridSpan w:val="2"/>
            <w:vMerge/>
            <w:tcBorders>
              <w:right w:val="single" w:sz="12" w:space="0" w:color="auto"/>
            </w:tcBorders>
            <w:shd w:val="clear" w:color="auto" w:fill="A6A6A6" w:themeFill="background1" w:themeFillShade="A6"/>
          </w:tcPr>
          <w:p w:rsidR="00896039" w:rsidRDefault="00896039">
            <w:pPr>
              <w:tabs>
                <w:tab w:val="left" w:pos="1344"/>
              </w:tabs>
              <w:bidi w:val="0"/>
              <w:jc w:val="center"/>
              <w:rPr>
                <w:b/>
              </w:rPr>
            </w:pPr>
          </w:p>
        </w:tc>
        <w:tc>
          <w:tcPr>
            <w:tcW w:w="1574" w:type="dxa"/>
            <w:tcBorders>
              <w:left w:val="single" w:sz="12" w:space="0" w:color="auto"/>
              <w:right w:val="single" w:sz="12" w:space="0" w:color="auto"/>
            </w:tcBorders>
            <w:shd w:val="clear" w:color="auto" w:fill="D9D9D9" w:themeFill="background1" w:themeFillShade="D9"/>
          </w:tcPr>
          <w:p w:rsidR="00896039" w:rsidRDefault="00B0764B">
            <w:pPr>
              <w:tabs>
                <w:tab w:val="left" w:pos="1344"/>
              </w:tabs>
              <w:bidi w:val="0"/>
              <w:jc w:val="center"/>
              <w:rPr>
                <w:b/>
              </w:rPr>
            </w:pPr>
            <w:r>
              <w:rPr>
                <w:rFonts w:ascii="F2" w:hAnsi="F2" w:cs="F2"/>
                <w:b/>
                <w:sz w:val="15"/>
              </w:rPr>
              <w:t>II</w:t>
            </w:r>
          </w:p>
        </w:tc>
        <w:tc>
          <w:tcPr>
            <w:tcW w:w="2920" w:type="dxa"/>
            <w:tcBorders>
              <w:left w:val="single" w:sz="12" w:space="0" w:color="auto"/>
              <w:right w:val="single" w:sz="12" w:space="0" w:color="auto"/>
            </w:tcBorders>
          </w:tcPr>
          <w:p w:rsidR="00896039" w:rsidRDefault="00B0764B">
            <w:pPr>
              <w:bidi w:val="0"/>
              <w:jc w:val="center"/>
            </w:pPr>
            <w:r>
              <w:t>21</w:t>
            </w:r>
          </w:p>
        </w:tc>
        <w:tc>
          <w:tcPr>
            <w:tcW w:w="2473" w:type="dxa"/>
            <w:tcBorders>
              <w:left w:val="single" w:sz="12" w:space="0" w:color="auto"/>
              <w:right w:val="single" w:sz="12" w:space="0" w:color="auto"/>
            </w:tcBorders>
          </w:tcPr>
          <w:p w:rsidR="00896039" w:rsidRDefault="00B0764B">
            <w:pPr>
              <w:bidi w:val="0"/>
              <w:jc w:val="center"/>
            </w:pPr>
            <w:r>
              <w:t xml:space="preserve">24 </w:t>
            </w:r>
          </w:p>
        </w:tc>
      </w:tr>
      <w:tr w:rsidR="00896039">
        <w:trPr>
          <w:trHeight w:val="115"/>
          <w:jc w:val="center"/>
        </w:trPr>
        <w:tc>
          <w:tcPr>
            <w:tcW w:w="2248" w:type="dxa"/>
            <w:gridSpan w:val="2"/>
            <w:vMerge/>
            <w:tcBorders>
              <w:right w:val="single" w:sz="12" w:space="0" w:color="auto"/>
            </w:tcBorders>
            <w:shd w:val="clear" w:color="auto" w:fill="A6A6A6" w:themeFill="background1" w:themeFillShade="A6"/>
          </w:tcPr>
          <w:p w:rsidR="00896039" w:rsidRDefault="00896039">
            <w:pPr>
              <w:tabs>
                <w:tab w:val="left" w:pos="1344"/>
              </w:tabs>
              <w:bidi w:val="0"/>
              <w:jc w:val="center"/>
              <w:rPr>
                <w:b/>
              </w:rPr>
            </w:pPr>
          </w:p>
        </w:tc>
        <w:tc>
          <w:tcPr>
            <w:tcW w:w="1574" w:type="dxa"/>
            <w:tcBorders>
              <w:left w:val="single" w:sz="12" w:space="0" w:color="auto"/>
              <w:right w:val="single" w:sz="12" w:space="0" w:color="auto"/>
            </w:tcBorders>
            <w:shd w:val="clear" w:color="auto" w:fill="D9D9D9" w:themeFill="background1" w:themeFillShade="D9"/>
          </w:tcPr>
          <w:p w:rsidR="00896039" w:rsidRDefault="00B0764B">
            <w:pPr>
              <w:tabs>
                <w:tab w:val="left" w:pos="1344"/>
              </w:tabs>
              <w:bidi w:val="0"/>
              <w:jc w:val="center"/>
              <w:rPr>
                <w:b/>
              </w:rPr>
            </w:pPr>
            <w:r>
              <w:rPr>
                <w:rFonts w:ascii="F2" w:hAnsi="F2" w:cs="F2"/>
                <w:b/>
                <w:sz w:val="15"/>
              </w:rPr>
              <w:t>III</w:t>
            </w:r>
          </w:p>
        </w:tc>
        <w:tc>
          <w:tcPr>
            <w:tcW w:w="2920" w:type="dxa"/>
            <w:tcBorders>
              <w:left w:val="single" w:sz="12" w:space="0" w:color="auto"/>
              <w:right w:val="single" w:sz="12" w:space="0" w:color="auto"/>
            </w:tcBorders>
          </w:tcPr>
          <w:p w:rsidR="00896039" w:rsidRDefault="00B0764B">
            <w:pPr>
              <w:bidi w:val="0"/>
              <w:jc w:val="center"/>
              <w:rPr>
                <w:lang w:val="en-US"/>
              </w:rPr>
            </w:pPr>
            <w:r>
              <w:t xml:space="preserve">3 </w:t>
            </w:r>
          </w:p>
        </w:tc>
        <w:tc>
          <w:tcPr>
            <w:tcW w:w="2473" w:type="dxa"/>
            <w:tcBorders>
              <w:left w:val="single" w:sz="12" w:space="0" w:color="auto"/>
              <w:right w:val="single" w:sz="12" w:space="0" w:color="auto"/>
            </w:tcBorders>
          </w:tcPr>
          <w:p w:rsidR="00896039" w:rsidRDefault="00B0764B">
            <w:pPr>
              <w:bidi w:val="0"/>
              <w:jc w:val="center"/>
            </w:pPr>
            <w:r>
              <w:t xml:space="preserve">2 </w:t>
            </w:r>
          </w:p>
        </w:tc>
      </w:tr>
      <w:tr w:rsidR="00896039">
        <w:trPr>
          <w:trHeight w:val="115"/>
          <w:jc w:val="center"/>
        </w:trPr>
        <w:tc>
          <w:tcPr>
            <w:tcW w:w="1911" w:type="dxa"/>
            <w:vMerge w:val="restart"/>
            <w:tcBorders>
              <w:right w:val="single" w:sz="12" w:space="0" w:color="auto"/>
            </w:tcBorders>
            <w:shd w:val="clear" w:color="auto" w:fill="A6A6A6" w:themeFill="background1" w:themeFillShade="A6"/>
          </w:tcPr>
          <w:p w:rsidR="00896039" w:rsidRDefault="00896039">
            <w:pPr>
              <w:jc w:val="center"/>
              <w:rPr>
                <w:b/>
                <w:lang w:val="en-US"/>
              </w:rPr>
            </w:pPr>
          </w:p>
          <w:p w:rsidR="00896039" w:rsidRDefault="00B0764B">
            <w:pPr>
              <w:jc w:val="center"/>
              <w:rPr>
                <w:b/>
                <w:lang w:val="en-US"/>
              </w:rPr>
            </w:pPr>
            <w:r>
              <w:rPr>
                <w:b/>
                <w:lang w:val="en-US"/>
              </w:rPr>
              <w:t>type of surgery</w:t>
            </w:r>
          </w:p>
        </w:tc>
        <w:tc>
          <w:tcPr>
            <w:tcW w:w="1911" w:type="dxa"/>
            <w:gridSpan w:val="2"/>
            <w:tcBorders>
              <w:right w:val="single" w:sz="12" w:space="0" w:color="auto"/>
            </w:tcBorders>
            <w:shd w:val="clear" w:color="auto" w:fill="A6A6A6" w:themeFill="background1" w:themeFillShade="A6"/>
          </w:tcPr>
          <w:p w:rsidR="00896039" w:rsidRDefault="00B0764B">
            <w:pPr>
              <w:jc w:val="center"/>
              <w:rPr>
                <w:b/>
                <w:rtl/>
              </w:rPr>
            </w:pPr>
            <w:r>
              <w:rPr>
                <w:b/>
              </w:rPr>
              <w:t>caesarean section</w:t>
            </w:r>
          </w:p>
        </w:tc>
        <w:tc>
          <w:tcPr>
            <w:tcW w:w="2920" w:type="dxa"/>
            <w:tcBorders>
              <w:left w:val="single" w:sz="12" w:space="0" w:color="auto"/>
              <w:right w:val="single" w:sz="12" w:space="0" w:color="auto"/>
            </w:tcBorders>
          </w:tcPr>
          <w:p w:rsidR="00896039" w:rsidRDefault="00B0764B">
            <w:pPr>
              <w:jc w:val="center"/>
              <w:rPr>
                <w:color w:val="000000"/>
                <w:rtl/>
              </w:rPr>
            </w:pPr>
            <w:r>
              <w:rPr>
                <w:color w:val="000000"/>
              </w:rPr>
              <w:t>17</w:t>
            </w:r>
          </w:p>
        </w:tc>
        <w:tc>
          <w:tcPr>
            <w:tcW w:w="2473" w:type="dxa"/>
            <w:tcBorders>
              <w:left w:val="single" w:sz="12" w:space="0" w:color="auto"/>
              <w:right w:val="single" w:sz="12" w:space="0" w:color="auto"/>
            </w:tcBorders>
          </w:tcPr>
          <w:p w:rsidR="00896039" w:rsidRDefault="00B0764B">
            <w:pPr>
              <w:jc w:val="center"/>
              <w:rPr>
                <w:rtl/>
              </w:rPr>
            </w:pPr>
            <w:r>
              <w:t xml:space="preserve">16 </w:t>
            </w:r>
          </w:p>
        </w:tc>
      </w:tr>
      <w:tr w:rsidR="00896039">
        <w:trPr>
          <w:trHeight w:val="115"/>
          <w:jc w:val="center"/>
        </w:trPr>
        <w:tc>
          <w:tcPr>
            <w:tcW w:w="1911" w:type="dxa"/>
            <w:vMerge/>
            <w:tcBorders>
              <w:right w:val="single" w:sz="12" w:space="0" w:color="auto"/>
            </w:tcBorders>
            <w:shd w:val="clear" w:color="auto" w:fill="A6A6A6" w:themeFill="background1" w:themeFillShade="A6"/>
          </w:tcPr>
          <w:p w:rsidR="00896039" w:rsidRDefault="00896039">
            <w:pPr>
              <w:jc w:val="center"/>
              <w:rPr>
                <w:b/>
                <w:rtl/>
              </w:rPr>
            </w:pPr>
          </w:p>
        </w:tc>
        <w:tc>
          <w:tcPr>
            <w:tcW w:w="1911" w:type="dxa"/>
            <w:gridSpan w:val="2"/>
            <w:tcBorders>
              <w:right w:val="single" w:sz="12" w:space="0" w:color="auto"/>
            </w:tcBorders>
            <w:shd w:val="clear" w:color="auto" w:fill="A6A6A6" w:themeFill="background1" w:themeFillShade="A6"/>
          </w:tcPr>
          <w:p w:rsidR="00896039" w:rsidRDefault="00B0764B">
            <w:pPr>
              <w:bidi w:val="0"/>
              <w:jc w:val="center"/>
              <w:rPr>
                <w:b/>
                <w:lang w:val="en-US"/>
              </w:rPr>
            </w:pPr>
            <w:r>
              <w:rPr>
                <w:b/>
                <w:lang w:val="en-US" w:eastAsia="en-US"/>
              </w:rPr>
              <w:t xml:space="preserve">total abdominal </w:t>
            </w:r>
            <w:r>
              <w:rPr>
                <w:b/>
              </w:rPr>
              <w:t>hysterectomy</w:t>
            </w:r>
          </w:p>
        </w:tc>
        <w:tc>
          <w:tcPr>
            <w:tcW w:w="2920" w:type="dxa"/>
            <w:tcBorders>
              <w:left w:val="single" w:sz="12" w:space="0" w:color="auto"/>
              <w:right w:val="single" w:sz="12" w:space="0" w:color="auto"/>
            </w:tcBorders>
          </w:tcPr>
          <w:p w:rsidR="00896039" w:rsidRDefault="00B0764B">
            <w:pPr>
              <w:tabs>
                <w:tab w:val="center" w:pos="813"/>
              </w:tabs>
              <w:jc w:val="center"/>
            </w:pPr>
            <w:r>
              <w:t xml:space="preserve">13 </w:t>
            </w:r>
          </w:p>
        </w:tc>
        <w:tc>
          <w:tcPr>
            <w:tcW w:w="2473" w:type="dxa"/>
            <w:tcBorders>
              <w:left w:val="single" w:sz="12" w:space="0" w:color="auto"/>
              <w:right w:val="single" w:sz="12" w:space="0" w:color="auto"/>
            </w:tcBorders>
          </w:tcPr>
          <w:p w:rsidR="00896039" w:rsidRDefault="00B0764B">
            <w:pPr>
              <w:jc w:val="center"/>
              <w:rPr>
                <w:rtl/>
              </w:rPr>
            </w:pPr>
            <w:r>
              <w:t xml:space="preserve">14 </w:t>
            </w:r>
          </w:p>
        </w:tc>
      </w:tr>
    </w:tbl>
    <w:p w:rsidR="00896039" w:rsidRDefault="00B0764B">
      <w:pPr>
        <w:shd w:val="clear" w:color="auto" w:fill="FFFFFF"/>
        <w:bidi w:val="0"/>
        <w:spacing w:before="100" w:after="100" w:line="240" w:lineRule="auto"/>
        <w:rPr>
          <w:rFonts w:asciiTheme="minorBidi" w:eastAsia="Times New Roman" w:hAnsiTheme="minorBidi"/>
          <w:sz w:val="18"/>
          <w:lang w:val="en-AU"/>
        </w:rPr>
      </w:pPr>
      <w:r>
        <w:rPr>
          <w:rFonts w:asciiTheme="minorBidi" w:eastAsia="Times New Roman" w:hAnsiTheme="minorBidi"/>
          <w:i/>
          <w:sz w:val="18"/>
          <w:lang w:val="en-AU"/>
        </w:rPr>
        <w:t>Results are expressed as means ± sd or numbers of patients. There were no significant differences between groups. uTAP: ultrasound-guided transversus abdominis plane, cTAP: conventional transversus abdominis plane, ASA: American Society of Anesthesiologists</w:t>
      </w:r>
      <w:r>
        <w:rPr>
          <w:rFonts w:asciiTheme="minorBidi" w:eastAsia="Times New Roman" w:hAnsiTheme="minorBidi"/>
          <w:sz w:val="18"/>
          <w:lang w:val="en-AU"/>
        </w:rPr>
        <w:t>.</w:t>
      </w:r>
    </w:p>
    <w:p w:rsidR="00896039" w:rsidRDefault="00B0764B">
      <w:pPr>
        <w:bidi w:val="0"/>
        <w:spacing w:before="75" w:after="75" w:line="240" w:lineRule="auto"/>
        <w:rPr>
          <w:rFonts w:ascii="Arial" w:eastAsia="Times New Roman" w:hAnsi="Arial" w:cs="Arial"/>
          <w:color w:val="000000"/>
          <w:sz w:val="20"/>
        </w:rPr>
      </w:pPr>
      <w:r>
        <w:rPr>
          <w:rFonts w:ascii="Arial" w:eastAsia="Times New Roman" w:hAnsi="Arial" w:cs="Arial"/>
          <w:color w:val="000000"/>
          <w:sz w:val="20"/>
        </w:rPr>
        <w:t xml:space="preserve">Patients undergoing ultrasound-guided TAP block had reduced 24 h morphine requirements compared with patients undergoing conventional TAP block </w:t>
      </w:r>
      <w:r>
        <w:rPr>
          <w:rFonts w:ascii="Arial" w:eastAsia="Times New Roman" w:hAnsi="Arial" w:cs="Arial"/>
          <w:sz w:val="20"/>
        </w:rPr>
        <w:t>(</w:t>
      </w:r>
      <w:hyperlink r:id="rId13" w:history="1">
        <w:r>
          <w:t>Table</w:t>
        </w:r>
      </w:hyperlink>
      <w:r>
        <w:t xml:space="preserve"> 2</w:t>
      </w:r>
      <w:r>
        <w:rPr>
          <w:rFonts w:ascii="Arial" w:eastAsia="Times New Roman" w:hAnsi="Arial" w:cs="Arial"/>
          <w:sz w:val="20"/>
        </w:rPr>
        <w:t xml:space="preserve">). </w:t>
      </w:r>
      <w:r>
        <w:rPr>
          <w:rFonts w:ascii="Arial" w:eastAsia="Times New Roman" w:hAnsi="Arial" w:cs="Arial"/>
          <w:color w:val="000000"/>
          <w:sz w:val="20"/>
        </w:rPr>
        <w:t>The ultrasound-guided TAP block reduced interval postoperative morphine consumption compared with conventional TAP block at 2, 4, 8, 12, and 24 h postoperative but not at the post anesthesia care unit (Figure 1). Postoperative VAS pain scores at rest and on movement (knee flexion) were lower but not significantly reduced after ultrasound-guided TAP block compared with conventional TAP block at all, time points assessed (</w:t>
      </w:r>
      <w:r>
        <w:t>Figure 2)(Figure 3)</w:t>
      </w:r>
      <w:r>
        <w:rPr>
          <w:rFonts w:ascii="Arial" w:eastAsia="Times New Roman" w:hAnsi="Arial" w:cs="Arial"/>
          <w:color w:val="000000"/>
          <w:sz w:val="20"/>
        </w:rPr>
        <w:t xml:space="preserve">. </w:t>
      </w:r>
    </w:p>
    <w:p w:rsidR="00896039" w:rsidRDefault="00B0764B" w:rsidP="004E7BA6">
      <w:pPr>
        <w:bidi w:val="0"/>
        <w:spacing w:before="75" w:after="75" w:line="240" w:lineRule="auto"/>
        <w:rPr>
          <w:rFonts w:ascii="Arial" w:eastAsia="Times New Roman" w:hAnsi="Arial" w:cs="Arial"/>
          <w:b/>
          <w:color w:val="000000"/>
        </w:rPr>
      </w:pPr>
      <w:r>
        <w:rPr>
          <w:rFonts w:ascii="Arial" w:eastAsia="Times New Roman" w:hAnsi="Arial" w:cs="Arial"/>
          <w:b/>
          <w:color w:val="000000"/>
        </w:rPr>
        <w:t xml:space="preserve">Table 2 </w:t>
      </w:r>
    </w:p>
    <w:p w:rsidR="00896039" w:rsidRDefault="00B0764B">
      <w:pPr>
        <w:bidi w:val="0"/>
        <w:spacing w:before="75" w:after="75" w:line="240" w:lineRule="auto"/>
        <w:rPr>
          <w:rFonts w:ascii="Arial" w:eastAsia="Times New Roman" w:hAnsi="Arial" w:cs="Arial"/>
          <w:i/>
          <w:color w:val="000000"/>
          <w:sz w:val="20"/>
        </w:rPr>
      </w:pPr>
      <w:r>
        <w:rPr>
          <w:rFonts w:ascii="Arial" w:eastAsia="Times New Roman" w:hAnsi="Arial" w:cs="Arial"/>
          <w:i/>
          <w:color w:val="000000"/>
          <w:sz w:val="20"/>
        </w:rPr>
        <w:t>24 hours morphine consumption</w:t>
      </w:r>
    </w:p>
    <w:tbl>
      <w:tblPr>
        <w:tblStyle w:val="TableGrid"/>
        <w:tblW w:w="8241" w:type="dxa"/>
        <w:jc w:val="center"/>
        <w:tblInd w:w="-784" w:type="dxa"/>
        <w:tblLook w:val="04A0" w:firstRow="1" w:lastRow="0" w:firstColumn="1" w:lastColumn="0" w:noHBand="0" w:noVBand="1"/>
      </w:tblPr>
      <w:tblGrid>
        <w:gridCol w:w="2861"/>
        <w:gridCol w:w="1464"/>
        <w:gridCol w:w="1518"/>
        <w:gridCol w:w="1280"/>
        <w:gridCol w:w="1118"/>
      </w:tblGrid>
      <w:tr w:rsidR="00896039">
        <w:trPr>
          <w:jc w:val="center"/>
        </w:trPr>
        <w:tc>
          <w:tcPr>
            <w:tcW w:w="2861"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rsidR="00896039" w:rsidRDefault="00896039">
            <w:pPr>
              <w:bidi w:val="0"/>
              <w:jc w:val="center"/>
            </w:pPr>
          </w:p>
        </w:tc>
        <w:tc>
          <w:tcPr>
            <w:tcW w:w="1464" w:type="dxa"/>
            <w:tcBorders>
              <w:top w:val="single" w:sz="24" w:space="0" w:color="auto"/>
              <w:left w:val="single" w:sz="24" w:space="0" w:color="auto"/>
              <w:bottom w:val="single" w:sz="18" w:space="0" w:color="auto"/>
              <w:right w:val="single" w:sz="18" w:space="0" w:color="auto"/>
            </w:tcBorders>
            <w:shd w:val="clear" w:color="auto" w:fill="D9D9D9" w:themeFill="background1" w:themeFillShade="D9"/>
          </w:tcPr>
          <w:p w:rsidR="00896039" w:rsidRDefault="00B0764B">
            <w:pPr>
              <w:bidi w:val="0"/>
              <w:jc w:val="center"/>
              <w:rPr>
                <w:b/>
              </w:rPr>
            </w:pPr>
            <w:r>
              <w:rPr>
                <w:b/>
              </w:rPr>
              <w:t>Group  I (cTAP)</w:t>
            </w:r>
          </w:p>
        </w:tc>
        <w:tc>
          <w:tcPr>
            <w:tcW w:w="1518" w:type="dxa"/>
            <w:tcBorders>
              <w:top w:val="single" w:sz="24" w:space="0" w:color="auto"/>
              <w:left w:val="single" w:sz="18" w:space="0" w:color="auto"/>
              <w:bottom w:val="single" w:sz="18" w:space="0" w:color="auto"/>
              <w:right w:val="single" w:sz="18" w:space="0" w:color="auto"/>
            </w:tcBorders>
            <w:shd w:val="clear" w:color="auto" w:fill="D9D9D9" w:themeFill="background1" w:themeFillShade="D9"/>
          </w:tcPr>
          <w:p w:rsidR="00896039" w:rsidRDefault="00B0764B">
            <w:pPr>
              <w:bidi w:val="0"/>
              <w:jc w:val="center"/>
              <w:rPr>
                <w:b/>
              </w:rPr>
            </w:pPr>
            <w:r>
              <w:rPr>
                <w:b/>
              </w:rPr>
              <w:t xml:space="preserve">Group </w:t>
            </w:r>
            <w:r>
              <w:rPr>
                <w:rFonts w:ascii="F2" w:hAnsi="F2" w:cs="F2"/>
                <w:b/>
                <w:sz w:val="15"/>
              </w:rPr>
              <w:t>II</w:t>
            </w:r>
            <w:r>
              <w:rPr>
                <w:b/>
              </w:rPr>
              <w:t xml:space="preserve"> (uTAP)</w:t>
            </w:r>
          </w:p>
        </w:tc>
        <w:tc>
          <w:tcPr>
            <w:tcW w:w="1280" w:type="dxa"/>
            <w:tcBorders>
              <w:top w:val="single" w:sz="24" w:space="0" w:color="auto"/>
              <w:left w:val="single" w:sz="18" w:space="0" w:color="auto"/>
              <w:bottom w:val="single" w:sz="18" w:space="0" w:color="auto"/>
              <w:right w:val="single" w:sz="18" w:space="0" w:color="auto"/>
            </w:tcBorders>
            <w:shd w:val="clear" w:color="auto" w:fill="D9D9D9" w:themeFill="background1" w:themeFillShade="D9"/>
          </w:tcPr>
          <w:p w:rsidR="00896039" w:rsidRDefault="00B0764B">
            <w:pPr>
              <w:bidi w:val="0"/>
              <w:jc w:val="center"/>
              <w:rPr>
                <w:b/>
              </w:rPr>
            </w:pPr>
            <w:r>
              <w:rPr>
                <w:b/>
              </w:rPr>
              <w:t>Test of significance</w:t>
            </w:r>
          </w:p>
        </w:tc>
        <w:tc>
          <w:tcPr>
            <w:tcW w:w="1118" w:type="dxa"/>
            <w:tcBorders>
              <w:top w:val="single" w:sz="24" w:space="0" w:color="auto"/>
              <w:left w:val="single" w:sz="18" w:space="0" w:color="auto"/>
              <w:bottom w:val="single" w:sz="18" w:space="0" w:color="auto"/>
              <w:right w:val="single" w:sz="24" w:space="0" w:color="auto"/>
            </w:tcBorders>
            <w:shd w:val="clear" w:color="auto" w:fill="D9D9D9" w:themeFill="background1" w:themeFillShade="D9"/>
          </w:tcPr>
          <w:p w:rsidR="00896039" w:rsidRDefault="00B0764B">
            <w:pPr>
              <w:bidi w:val="0"/>
              <w:jc w:val="center"/>
              <w:rPr>
                <w:b/>
              </w:rPr>
            </w:pPr>
            <w:r>
              <w:rPr>
                <w:b/>
              </w:rPr>
              <w:t>P Value</w:t>
            </w:r>
          </w:p>
        </w:tc>
      </w:tr>
      <w:tr w:rsidR="00896039">
        <w:trPr>
          <w:jc w:val="center"/>
        </w:trPr>
        <w:tc>
          <w:tcPr>
            <w:tcW w:w="2861" w:type="dxa"/>
            <w:tcBorders>
              <w:top w:val="single" w:sz="18" w:space="0" w:color="auto"/>
              <w:left w:val="single" w:sz="24" w:space="0" w:color="auto"/>
              <w:bottom w:val="single" w:sz="12" w:space="0" w:color="auto"/>
              <w:right w:val="single" w:sz="24" w:space="0" w:color="auto"/>
            </w:tcBorders>
            <w:shd w:val="clear" w:color="auto" w:fill="D9D9D9" w:themeFill="background1" w:themeFillShade="D9"/>
          </w:tcPr>
          <w:p w:rsidR="00896039" w:rsidRDefault="00B0764B">
            <w:pPr>
              <w:bidi w:val="0"/>
              <w:jc w:val="center"/>
              <w:rPr>
                <w:b/>
              </w:rPr>
            </w:pPr>
            <w:r>
              <w:rPr>
                <w:b/>
              </w:rPr>
              <w:t>Total 24 hours morphine consumption (mg)</w:t>
            </w:r>
          </w:p>
        </w:tc>
        <w:tc>
          <w:tcPr>
            <w:tcW w:w="1464" w:type="dxa"/>
            <w:tcBorders>
              <w:top w:val="single" w:sz="18" w:space="0" w:color="auto"/>
              <w:left w:val="single" w:sz="24" w:space="0" w:color="auto"/>
              <w:bottom w:val="single" w:sz="12" w:space="0" w:color="auto"/>
              <w:right w:val="single" w:sz="18" w:space="0" w:color="auto"/>
            </w:tcBorders>
          </w:tcPr>
          <w:p w:rsidR="00896039" w:rsidRDefault="00B0764B">
            <w:pPr>
              <w:bidi w:val="0"/>
              <w:jc w:val="center"/>
              <w:rPr>
                <w:rFonts w:cs="Arial"/>
                <w:color w:val="000000"/>
              </w:rPr>
            </w:pPr>
            <w:r>
              <w:rPr>
                <w:rFonts w:cs="Arial"/>
                <w:color w:val="000000"/>
              </w:rPr>
              <w:t>33.1±14.45</w:t>
            </w:r>
          </w:p>
        </w:tc>
        <w:tc>
          <w:tcPr>
            <w:tcW w:w="1518" w:type="dxa"/>
            <w:tcBorders>
              <w:top w:val="single" w:sz="18" w:space="0" w:color="auto"/>
              <w:left w:val="single" w:sz="18" w:space="0" w:color="auto"/>
              <w:bottom w:val="single" w:sz="12" w:space="0" w:color="auto"/>
              <w:right w:val="single" w:sz="18" w:space="0" w:color="auto"/>
            </w:tcBorders>
          </w:tcPr>
          <w:p w:rsidR="00896039" w:rsidRDefault="00B0764B">
            <w:pPr>
              <w:bidi w:val="0"/>
              <w:jc w:val="center"/>
              <w:rPr>
                <w:rFonts w:cs="Arial"/>
                <w:color w:val="000000"/>
              </w:rPr>
            </w:pPr>
            <w:r>
              <w:rPr>
                <w:rFonts w:cs="Arial"/>
                <w:color w:val="000000"/>
              </w:rPr>
              <w:t>22.8±9.1</w:t>
            </w:r>
          </w:p>
        </w:tc>
        <w:tc>
          <w:tcPr>
            <w:tcW w:w="1280" w:type="dxa"/>
            <w:tcBorders>
              <w:top w:val="single" w:sz="18" w:space="0" w:color="auto"/>
              <w:left w:val="single" w:sz="18" w:space="0" w:color="auto"/>
              <w:bottom w:val="single" w:sz="12" w:space="0" w:color="auto"/>
              <w:right w:val="single" w:sz="18" w:space="0" w:color="auto"/>
            </w:tcBorders>
          </w:tcPr>
          <w:p w:rsidR="00896039" w:rsidRDefault="00B0764B">
            <w:pPr>
              <w:bidi w:val="0"/>
              <w:jc w:val="center"/>
            </w:pPr>
            <w:r>
              <w:t>t= 3.3037</w:t>
            </w:r>
          </w:p>
        </w:tc>
        <w:tc>
          <w:tcPr>
            <w:tcW w:w="1118" w:type="dxa"/>
            <w:tcBorders>
              <w:top w:val="single" w:sz="18" w:space="0" w:color="auto"/>
              <w:left w:val="single" w:sz="18" w:space="0" w:color="auto"/>
              <w:bottom w:val="single" w:sz="12" w:space="0" w:color="auto"/>
              <w:right w:val="single" w:sz="24" w:space="0" w:color="auto"/>
            </w:tcBorders>
          </w:tcPr>
          <w:p w:rsidR="00896039" w:rsidRDefault="00B0764B">
            <w:pPr>
              <w:bidi w:val="0"/>
              <w:jc w:val="center"/>
            </w:pPr>
            <w:r>
              <w:t>p= 0.0016</w:t>
            </w:r>
          </w:p>
        </w:tc>
      </w:tr>
    </w:tbl>
    <w:p w:rsidR="00896039" w:rsidRPr="009F083C" w:rsidRDefault="00B0764B">
      <w:pPr>
        <w:bidi w:val="0"/>
        <w:spacing w:before="75" w:after="75"/>
        <w:rPr>
          <w:rFonts w:ascii="Arial" w:hAnsi="Arial" w:cs="Arial"/>
          <w:i/>
          <w:sz w:val="18"/>
          <w:lang w:val="en-AU"/>
        </w:rPr>
      </w:pPr>
      <w:r w:rsidRPr="009F083C">
        <w:rPr>
          <w:rFonts w:ascii="Arial" w:hAnsi="Arial" w:cs="Arial"/>
          <w:i/>
          <w:sz w:val="18"/>
        </w:rPr>
        <w:t xml:space="preserve">Data was presents as mean ± </w:t>
      </w:r>
      <w:proofErr w:type="gramStart"/>
      <w:r w:rsidRPr="009F083C">
        <w:rPr>
          <w:rFonts w:ascii="Arial" w:hAnsi="Arial" w:cs="Arial"/>
          <w:i/>
          <w:sz w:val="18"/>
        </w:rPr>
        <w:t>sd</w:t>
      </w:r>
      <w:proofErr w:type="gramEnd"/>
      <w:r w:rsidRPr="009F083C">
        <w:rPr>
          <w:rFonts w:ascii="Arial" w:hAnsi="Arial" w:cs="Arial"/>
          <w:i/>
          <w:sz w:val="18"/>
        </w:rPr>
        <w:t xml:space="preserve">. There was significant difference between groups. </w:t>
      </w:r>
      <w:r w:rsidRPr="009F083C">
        <w:rPr>
          <w:rFonts w:ascii="Arial" w:eastAsia="Times New Roman" w:hAnsi="Arial" w:cs="Arial"/>
          <w:i/>
          <w:sz w:val="18"/>
          <w:lang w:val="en-AU"/>
        </w:rPr>
        <w:t>uTAP: ultrasound-guided transversus abdominis plane, cTAP: conventional transversus abdominis plane</w:t>
      </w:r>
      <w:r w:rsidRPr="009F083C">
        <w:rPr>
          <w:rFonts w:ascii="Arial" w:hAnsi="Arial" w:cs="Arial"/>
          <w:i/>
          <w:sz w:val="18"/>
          <w:lang w:val="en-AU"/>
        </w:rPr>
        <w:t>.</w:t>
      </w:r>
    </w:p>
    <w:p w:rsidR="00896039" w:rsidRPr="009F083C" w:rsidRDefault="00896039">
      <w:pPr>
        <w:bidi w:val="0"/>
        <w:spacing w:before="75" w:after="75"/>
        <w:rPr>
          <w:rFonts w:ascii="Arial" w:hAnsi="Arial" w:cs="Arial"/>
          <w:sz w:val="20"/>
        </w:rPr>
      </w:pPr>
    </w:p>
    <w:p w:rsidR="00896039" w:rsidRDefault="00B0764B">
      <w:pPr>
        <w:bidi w:val="0"/>
        <w:spacing w:before="75" w:after="75"/>
        <w:rPr>
          <w:rFonts w:asciiTheme="minorBidi" w:hAnsiTheme="minorBidi"/>
          <w:sz w:val="20"/>
        </w:rPr>
      </w:pPr>
      <w:r>
        <w:rPr>
          <w:noProof/>
        </w:rPr>
        <w:lastRenderedPageBreak/>
        <w:drawing>
          <wp:inline distT="0" distB="0" distL="0" distR="0" wp14:anchorId="4B0F2C97" wp14:editId="202E80E3">
            <wp:extent cx="4867275" cy="2171700"/>
            <wp:effectExtent l="19050" t="1905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1441" w:rsidRPr="009F083C" w:rsidRDefault="00C41441" w:rsidP="00C41441">
      <w:pPr>
        <w:bidi w:val="0"/>
        <w:spacing w:before="75" w:after="75"/>
        <w:rPr>
          <w:rFonts w:ascii="Arial" w:hAnsi="Arial" w:cs="Arial"/>
          <w:b/>
        </w:rPr>
      </w:pPr>
      <w:r w:rsidRPr="009F083C">
        <w:rPr>
          <w:rFonts w:ascii="Arial" w:hAnsi="Arial" w:cs="Arial"/>
          <w:b/>
        </w:rPr>
        <w:t>Figure 1</w:t>
      </w:r>
    </w:p>
    <w:p w:rsidR="00C41441" w:rsidRDefault="00C41441" w:rsidP="00C41441">
      <w:pPr>
        <w:bidi w:val="0"/>
        <w:spacing w:before="75" w:after="75"/>
        <w:rPr>
          <w:rFonts w:ascii="Arial" w:hAnsi="Arial" w:cs="Arial"/>
          <w:i/>
          <w:sz w:val="20"/>
        </w:rPr>
      </w:pPr>
      <w:r w:rsidRPr="009F083C">
        <w:rPr>
          <w:rFonts w:ascii="Arial" w:hAnsi="Arial" w:cs="Arial"/>
          <w:i/>
        </w:rPr>
        <w:t>Comparison between both groups as regards interval morphine consumption</w:t>
      </w:r>
    </w:p>
    <w:p w:rsidR="00896039" w:rsidRPr="009F083C" w:rsidRDefault="00B0764B" w:rsidP="00C41441">
      <w:pPr>
        <w:bidi w:val="0"/>
        <w:spacing w:before="75" w:after="75"/>
        <w:rPr>
          <w:rFonts w:ascii="Arial" w:hAnsi="Arial" w:cs="Arial"/>
          <w:i/>
          <w:sz w:val="20"/>
        </w:rPr>
      </w:pPr>
      <w:r w:rsidRPr="009F083C">
        <w:rPr>
          <w:rFonts w:ascii="Arial" w:hAnsi="Arial" w:cs="Arial"/>
          <w:i/>
          <w:sz w:val="20"/>
        </w:rPr>
        <w:t xml:space="preserve">Group I: </w:t>
      </w:r>
      <w:r w:rsidRPr="009F083C">
        <w:rPr>
          <w:rFonts w:ascii="Arial" w:eastAsia="Times New Roman" w:hAnsi="Arial" w:cs="Arial"/>
          <w:i/>
          <w:sz w:val="18"/>
          <w:lang w:val="en-AU"/>
        </w:rPr>
        <w:t>conventional transversus abdominis plane, Group</w:t>
      </w:r>
      <w:r w:rsidRPr="009F083C">
        <w:rPr>
          <w:rFonts w:ascii="Arial" w:hAnsi="Arial" w:cs="Arial"/>
          <w:i/>
          <w:sz w:val="20"/>
        </w:rPr>
        <w:t xml:space="preserve"> II: </w:t>
      </w:r>
      <w:r w:rsidRPr="009F083C">
        <w:rPr>
          <w:rFonts w:ascii="Arial" w:eastAsia="Times New Roman" w:hAnsi="Arial" w:cs="Arial"/>
          <w:i/>
          <w:sz w:val="18"/>
          <w:lang w:val="en-AU"/>
        </w:rPr>
        <w:t>ultrasound-guided transversus abdominis plane</w:t>
      </w:r>
      <w:r w:rsidRPr="009F083C">
        <w:rPr>
          <w:rFonts w:ascii="Arial" w:hAnsi="Arial" w:cs="Arial"/>
          <w:i/>
          <w:sz w:val="20"/>
        </w:rPr>
        <w:t>, PACU: post anesthesia care unit.</w:t>
      </w:r>
    </w:p>
    <w:p w:rsidR="00896039" w:rsidRDefault="00896039">
      <w:pPr>
        <w:bidi w:val="0"/>
        <w:spacing w:before="75" w:after="75"/>
        <w:rPr>
          <w:rFonts w:ascii="Arial" w:hAnsi="Arial" w:cs="Arial"/>
          <w:sz w:val="20"/>
        </w:rPr>
      </w:pPr>
    </w:p>
    <w:p w:rsidR="007E6A20" w:rsidRPr="009F083C" w:rsidRDefault="007E6A20" w:rsidP="007E6A20">
      <w:pPr>
        <w:bidi w:val="0"/>
        <w:spacing w:before="75" w:after="75"/>
        <w:rPr>
          <w:rFonts w:ascii="Arial" w:hAnsi="Arial" w:cs="Arial"/>
          <w:sz w:val="20"/>
        </w:rPr>
      </w:pPr>
    </w:p>
    <w:p w:rsidR="00896039" w:rsidRDefault="00B0764B">
      <w:pPr>
        <w:bidi w:val="0"/>
        <w:spacing w:before="75" w:after="75"/>
        <w:rPr>
          <w:rFonts w:asciiTheme="minorBidi" w:hAnsiTheme="minorBidi"/>
          <w:b/>
        </w:rPr>
      </w:pPr>
      <w:r>
        <w:rPr>
          <w:noProof/>
        </w:rPr>
        <w:drawing>
          <wp:inline distT="0" distB="0" distL="0" distR="0" wp14:anchorId="5A42F03F" wp14:editId="550795D9">
            <wp:extent cx="4191000" cy="154305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1441" w:rsidRPr="009F083C" w:rsidRDefault="00C41441" w:rsidP="00C41441">
      <w:pPr>
        <w:bidi w:val="0"/>
        <w:spacing w:before="75" w:after="75"/>
        <w:rPr>
          <w:rFonts w:ascii="Arial" w:hAnsi="Arial" w:cs="Arial"/>
          <w:b/>
        </w:rPr>
      </w:pPr>
      <w:r w:rsidRPr="009F083C">
        <w:rPr>
          <w:rFonts w:ascii="Arial" w:hAnsi="Arial" w:cs="Arial"/>
          <w:b/>
        </w:rPr>
        <w:t>Figure 2</w:t>
      </w:r>
    </w:p>
    <w:p w:rsidR="00C41441" w:rsidRPr="009F083C" w:rsidRDefault="00C41441" w:rsidP="00C41441">
      <w:pPr>
        <w:bidi w:val="0"/>
        <w:spacing w:before="75" w:after="75"/>
        <w:rPr>
          <w:rFonts w:ascii="Arial" w:hAnsi="Arial" w:cs="Arial"/>
          <w:b/>
          <w:i/>
        </w:rPr>
      </w:pPr>
      <w:r w:rsidRPr="009F083C">
        <w:rPr>
          <w:rFonts w:ascii="Arial" w:hAnsi="Arial" w:cs="Arial"/>
          <w:i/>
        </w:rPr>
        <w:t>Comparison between both groups as regards VAS at rest</w:t>
      </w:r>
    </w:p>
    <w:p w:rsidR="00896039" w:rsidRDefault="00B0764B" w:rsidP="00C41441">
      <w:pPr>
        <w:bidi w:val="0"/>
        <w:spacing w:before="75" w:after="75"/>
        <w:rPr>
          <w:rFonts w:ascii="Arial" w:hAnsi="Arial" w:cs="Arial"/>
          <w:i/>
          <w:sz w:val="20"/>
        </w:rPr>
      </w:pPr>
      <w:r w:rsidRPr="009F083C">
        <w:rPr>
          <w:rFonts w:ascii="Arial" w:hAnsi="Arial" w:cs="Arial"/>
          <w:i/>
          <w:sz w:val="18"/>
        </w:rPr>
        <w:t xml:space="preserve">Group I: </w:t>
      </w:r>
      <w:r w:rsidRPr="009F083C">
        <w:rPr>
          <w:rFonts w:ascii="Arial" w:eastAsia="Times New Roman" w:hAnsi="Arial" w:cs="Arial"/>
          <w:i/>
          <w:sz w:val="18"/>
          <w:lang w:val="en-AU"/>
        </w:rPr>
        <w:t>conventional transversus abdominis plane, Group</w:t>
      </w:r>
      <w:r w:rsidRPr="009F083C">
        <w:rPr>
          <w:rFonts w:ascii="Arial" w:hAnsi="Arial" w:cs="Arial"/>
          <w:i/>
          <w:sz w:val="18"/>
        </w:rPr>
        <w:t xml:space="preserve"> II: </w:t>
      </w:r>
      <w:r w:rsidRPr="009F083C">
        <w:rPr>
          <w:rFonts w:ascii="Arial" w:eastAsia="Times New Roman" w:hAnsi="Arial" w:cs="Arial"/>
          <w:i/>
          <w:sz w:val="18"/>
          <w:lang w:val="en-AU"/>
        </w:rPr>
        <w:t>ultrasound-guided transversus abdominis plane</w:t>
      </w:r>
      <w:r w:rsidRPr="009F083C">
        <w:rPr>
          <w:rFonts w:ascii="Arial" w:hAnsi="Arial" w:cs="Arial"/>
          <w:i/>
          <w:sz w:val="18"/>
        </w:rPr>
        <w:t>, VAS: visual analogue scale</w:t>
      </w:r>
      <w:r w:rsidRPr="009F083C">
        <w:rPr>
          <w:rFonts w:ascii="Arial" w:hAnsi="Arial" w:cs="Arial"/>
          <w:i/>
          <w:sz w:val="20"/>
        </w:rPr>
        <w:t>.</w:t>
      </w:r>
    </w:p>
    <w:p w:rsidR="007E6A20" w:rsidRDefault="007E6A20" w:rsidP="007E6A20">
      <w:pPr>
        <w:bidi w:val="0"/>
        <w:spacing w:before="75" w:after="75"/>
        <w:rPr>
          <w:rFonts w:ascii="Arial" w:hAnsi="Arial" w:cs="Arial"/>
          <w:i/>
          <w:sz w:val="20"/>
        </w:rPr>
      </w:pPr>
    </w:p>
    <w:p w:rsidR="007E6A20" w:rsidRDefault="007E6A20" w:rsidP="007E6A20">
      <w:pPr>
        <w:bidi w:val="0"/>
        <w:spacing w:before="75" w:after="75"/>
        <w:rPr>
          <w:rFonts w:ascii="Arial" w:hAnsi="Arial" w:cs="Arial"/>
          <w:i/>
          <w:sz w:val="20"/>
        </w:rPr>
      </w:pPr>
    </w:p>
    <w:p w:rsidR="007E6A20" w:rsidRDefault="007E6A20" w:rsidP="007E6A20">
      <w:pPr>
        <w:bidi w:val="0"/>
        <w:spacing w:before="75" w:after="75"/>
        <w:rPr>
          <w:rFonts w:ascii="Arial" w:hAnsi="Arial" w:cs="Arial"/>
          <w:i/>
          <w:sz w:val="20"/>
        </w:rPr>
      </w:pPr>
    </w:p>
    <w:p w:rsidR="007E6A20" w:rsidRDefault="007E6A20" w:rsidP="007E6A20">
      <w:pPr>
        <w:bidi w:val="0"/>
        <w:spacing w:before="75" w:after="75"/>
        <w:rPr>
          <w:rFonts w:ascii="Arial" w:hAnsi="Arial" w:cs="Arial"/>
          <w:i/>
          <w:sz w:val="20"/>
        </w:rPr>
      </w:pPr>
    </w:p>
    <w:p w:rsidR="007E6A20" w:rsidRPr="009F083C" w:rsidRDefault="007E6A20" w:rsidP="007E6A20">
      <w:pPr>
        <w:bidi w:val="0"/>
        <w:spacing w:before="75" w:after="75"/>
        <w:rPr>
          <w:rFonts w:ascii="Arial" w:hAnsi="Arial" w:cs="Arial"/>
          <w:i/>
          <w:sz w:val="20"/>
        </w:rPr>
      </w:pPr>
    </w:p>
    <w:p w:rsidR="00896039" w:rsidRDefault="00B0764B">
      <w:pPr>
        <w:bidi w:val="0"/>
        <w:spacing w:before="75" w:after="75"/>
        <w:rPr>
          <w:rFonts w:asciiTheme="minorBidi" w:hAnsiTheme="minorBidi"/>
          <w:sz w:val="20"/>
        </w:rPr>
      </w:pPr>
      <w:r>
        <w:rPr>
          <w:noProof/>
        </w:rPr>
        <w:lastRenderedPageBreak/>
        <w:drawing>
          <wp:inline distT="0" distB="0" distL="0" distR="0" wp14:anchorId="06196966" wp14:editId="17ED153F">
            <wp:extent cx="4105275" cy="2295525"/>
            <wp:effectExtent l="19050" t="1905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67EB" w:rsidRPr="009F083C" w:rsidRDefault="009267EB" w:rsidP="009267EB">
      <w:pPr>
        <w:bidi w:val="0"/>
        <w:spacing w:before="75" w:after="75"/>
        <w:rPr>
          <w:rFonts w:ascii="Arial" w:hAnsi="Arial" w:cs="Arial"/>
          <w:b/>
        </w:rPr>
      </w:pPr>
      <w:r w:rsidRPr="009F083C">
        <w:rPr>
          <w:rFonts w:ascii="Arial" w:hAnsi="Arial" w:cs="Arial"/>
          <w:b/>
        </w:rPr>
        <w:t>Figure 3</w:t>
      </w:r>
    </w:p>
    <w:p w:rsidR="009267EB" w:rsidRPr="009F083C" w:rsidRDefault="009267EB" w:rsidP="009267EB">
      <w:pPr>
        <w:bidi w:val="0"/>
        <w:spacing w:before="75" w:after="75"/>
        <w:rPr>
          <w:rFonts w:ascii="Arial" w:hAnsi="Arial" w:cs="Arial"/>
          <w:b/>
          <w:i/>
        </w:rPr>
      </w:pPr>
      <w:r w:rsidRPr="009F083C">
        <w:rPr>
          <w:rFonts w:ascii="Arial" w:hAnsi="Arial" w:cs="Arial"/>
          <w:i/>
        </w:rPr>
        <w:t>Comparison between both groups as regards VAS on movement</w:t>
      </w:r>
    </w:p>
    <w:p w:rsidR="00896039" w:rsidRPr="009F083C" w:rsidRDefault="00B0764B" w:rsidP="009267EB">
      <w:pPr>
        <w:bidi w:val="0"/>
        <w:spacing w:before="75" w:after="75"/>
        <w:rPr>
          <w:rFonts w:ascii="Arial" w:hAnsi="Arial" w:cs="Arial"/>
          <w:i/>
          <w:sz w:val="20"/>
        </w:rPr>
      </w:pPr>
      <w:r w:rsidRPr="009F083C">
        <w:rPr>
          <w:rFonts w:ascii="Arial" w:hAnsi="Arial" w:cs="Arial"/>
          <w:i/>
          <w:sz w:val="18"/>
        </w:rPr>
        <w:t xml:space="preserve">Group I: </w:t>
      </w:r>
      <w:r w:rsidRPr="009F083C">
        <w:rPr>
          <w:rFonts w:ascii="Arial" w:eastAsia="Times New Roman" w:hAnsi="Arial" w:cs="Arial"/>
          <w:i/>
          <w:sz w:val="18"/>
          <w:lang w:val="en-AU"/>
        </w:rPr>
        <w:t>conventional transversus abdominis plane, Group</w:t>
      </w:r>
      <w:r w:rsidRPr="009F083C">
        <w:rPr>
          <w:rFonts w:ascii="Arial" w:hAnsi="Arial" w:cs="Arial"/>
          <w:i/>
          <w:sz w:val="18"/>
        </w:rPr>
        <w:t xml:space="preserve"> II: </w:t>
      </w:r>
      <w:r w:rsidRPr="009F083C">
        <w:rPr>
          <w:rFonts w:ascii="Arial" w:eastAsia="Times New Roman" w:hAnsi="Arial" w:cs="Arial"/>
          <w:i/>
          <w:sz w:val="18"/>
          <w:lang w:val="en-AU"/>
        </w:rPr>
        <w:t>ultrasound-guided transversus abdominis plane</w:t>
      </w:r>
      <w:r w:rsidRPr="009F083C">
        <w:rPr>
          <w:rFonts w:ascii="Arial" w:hAnsi="Arial" w:cs="Arial"/>
          <w:i/>
          <w:sz w:val="18"/>
        </w:rPr>
        <w:t>, VAS: visual analogue scale</w:t>
      </w:r>
      <w:r w:rsidRPr="009F083C">
        <w:rPr>
          <w:rFonts w:ascii="Arial" w:hAnsi="Arial" w:cs="Arial"/>
          <w:i/>
          <w:sz w:val="20"/>
        </w:rPr>
        <w:t>.</w:t>
      </w:r>
    </w:p>
    <w:p w:rsidR="00896039" w:rsidRPr="009F083C" w:rsidRDefault="00896039">
      <w:pPr>
        <w:bidi w:val="0"/>
        <w:spacing w:before="75" w:after="75"/>
        <w:rPr>
          <w:rFonts w:ascii="Arial" w:hAnsi="Arial" w:cs="Arial"/>
          <w:sz w:val="20"/>
        </w:rPr>
      </w:pPr>
    </w:p>
    <w:p w:rsidR="00896039" w:rsidRPr="009F083C" w:rsidRDefault="00B0764B">
      <w:pPr>
        <w:bidi w:val="0"/>
        <w:spacing w:before="75" w:after="75"/>
        <w:rPr>
          <w:rFonts w:ascii="Arial" w:eastAsia="Times New Roman" w:hAnsi="Arial" w:cs="Arial"/>
          <w:b/>
          <w:color w:val="000000"/>
          <w:sz w:val="20"/>
        </w:rPr>
      </w:pPr>
      <w:r w:rsidRPr="009F083C">
        <w:rPr>
          <w:rFonts w:ascii="Arial" w:hAnsi="Arial" w:cs="Arial"/>
          <w:sz w:val="20"/>
        </w:rPr>
        <w:t>The ultrasound-guided TAP block  non-significant reduced; nausea 5 patients (16%), vomiting no patient (0%), pruritus no patient (0%) and sedation 2 patients (6%) as compared to conventional TAP block group; nausea 9 patients (30%), vomiting 3 patients (10%), pruritus 1 patient (3%) and sedation 7 patients (23%)</w:t>
      </w:r>
      <w:r w:rsidRPr="009F083C">
        <w:rPr>
          <w:rFonts w:ascii="Arial" w:hAnsi="Arial" w:cs="Arial"/>
          <w:b/>
          <w:sz w:val="20"/>
        </w:rPr>
        <w:t>.</w:t>
      </w:r>
      <w:r w:rsidRPr="009F083C">
        <w:rPr>
          <w:rFonts w:ascii="Arial" w:eastAsia="Times New Roman" w:hAnsi="Arial" w:cs="Arial"/>
          <w:b/>
          <w:color w:val="000000"/>
          <w:sz w:val="20"/>
        </w:rPr>
        <w:t xml:space="preserve"> </w:t>
      </w:r>
    </w:p>
    <w:p w:rsidR="00896039" w:rsidRPr="009267EB" w:rsidRDefault="00B0764B" w:rsidP="009267EB">
      <w:pPr>
        <w:bidi w:val="0"/>
        <w:spacing w:before="375" w:after="225" w:line="240" w:lineRule="auto"/>
        <w:rPr>
          <w:rFonts w:ascii="Arial" w:eastAsia="Times New Roman" w:hAnsi="Arial" w:cs="Arial"/>
          <w:b/>
          <w:color w:val="000000"/>
          <w:szCs w:val="18"/>
        </w:rPr>
      </w:pPr>
      <w:r w:rsidRPr="009267EB">
        <w:rPr>
          <w:rFonts w:ascii="Arial" w:eastAsia="Times New Roman" w:hAnsi="Arial" w:cs="Arial"/>
          <w:b/>
          <w:color w:val="000000"/>
        </w:rPr>
        <w:t>DISCUSSION</w:t>
      </w:r>
      <w:r w:rsidRPr="009267EB">
        <w:rPr>
          <w:rFonts w:ascii="Arial" w:eastAsia="Times New Roman" w:hAnsi="Arial" w:cs="Arial"/>
          <w:b/>
          <w:color w:val="000000"/>
          <w:szCs w:val="18"/>
          <w:highlight w:val="green"/>
        </w:rPr>
        <w:t xml:space="preserve"> </w:t>
      </w:r>
    </w:p>
    <w:p w:rsidR="00896039" w:rsidRPr="009F083C" w:rsidRDefault="00B0764B" w:rsidP="009267EB">
      <w:pPr>
        <w:bidi w:val="0"/>
        <w:spacing w:before="75" w:after="75"/>
        <w:rPr>
          <w:rFonts w:ascii="Arial" w:eastAsia="Times New Roman" w:hAnsi="Arial" w:cs="Arial"/>
          <w:color w:val="000000"/>
          <w:sz w:val="20"/>
        </w:rPr>
      </w:pPr>
      <w:r w:rsidRPr="009F083C">
        <w:rPr>
          <w:rFonts w:ascii="Arial" w:eastAsia="Times New Roman" w:hAnsi="Arial" w:cs="Arial"/>
          <w:color w:val="000000"/>
          <w:sz w:val="20"/>
        </w:rPr>
        <w:t>Cesarean delivery and total abdominal hysterectomy are major surgical procedures, after which substantial postoperative discomfort and pain can be anticipated.</w:t>
      </w:r>
      <w:hyperlink r:id="rId17" w:anchor="P44" w:history="1">
        <w:r w:rsidRPr="009F083C">
          <w:rPr>
            <w:rStyle w:val="Hyperlink"/>
            <w:rFonts w:ascii="Arial" w:eastAsia="Times New Roman" w:hAnsi="Arial" w:cs="Arial"/>
            <w:b/>
            <w:color w:val="495F74"/>
            <w:sz w:val="20"/>
            <w:u w:val="none"/>
            <w:vertAlign w:val="superscript"/>
          </w:rPr>
          <w:t>1</w:t>
        </w:r>
      </w:hyperlink>
      <w:r w:rsidRPr="009F083C">
        <w:rPr>
          <w:rFonts w:ascii="Arial" w:eastAsia="Times New Roman" w:hAnsi="Arial" w:cs="Arial"/>
          <w:color w:val="000000"/>
          <w:sz w:val="20"/>
        </w:rPr>
        <w:t xml:space="preserve"> The analgesic regimen should provide safe, effective analgesia, with minimal side effects.</w:t>
      </w:r>
    </w:p>
    <w:p w:rsidR="00896039" w:rsidRPr="009F083C" w:rsidRDefault="00B0764B">
      <w:pPr>
        <w:bidi w:val="0"/>
        <w:spacing w:before="75" w:after="75"/>
        <w:rPr>
          <w:rFonts w:ascii="Arial" w:eastAsia="Times New Roman" w:hAnsi="Arial" w:cs="Arial"/>
          <w:color w:val="000000"/>
          <w:sz w:val="20"/>
        </w:rPr>
      </w:pPr>
      <w:r w:rsidRPr="009F083C">
        <w:rPr>
          <w:rFonts w:ascii="Arial" w:eastAsia="Times New Roman" w:hAnsi="Arial" w:cs="Arial"/>
          <w:color w:val="000000"/>
          <w:sz w:val="20"/>
        </w:rPr>
        <w:t>A multimodal analgesic regimen is most likely to achieve these goals. However, the optimal components of this regimen continue to evolve. Although single-shot neuraxial analgesic techniques using long-acting opioids, or patient-controlled epidural opioid administration, produce effective analgesia, they are associated with a frequent incidence of side effects, particularly nausea, vomiting, and pruritus, which reduce overall patient satisfaction.</w:t>
      </w:r>
      <w:hyperlink r:id="rId18" w:anchor="P44" w:history="1">
        <w:r w:rsidRPr="009F083C">
          <w:rPr>
            <w:rStyle w:val="Hyperlink"/>
            <w:rFonts w:ascii="Arial" w:eastAsia="Times New Roman" w:hAnsi="Arial" w:cs="Arial"/>
            <w:b/>
            <w:color w:val="495F74"/>
            <w:sz w:val="20"/>
            <w:u w:val="none"/>
            <w:vertAlign w:val="superscript"/>
          </w:rPr>
          <w:t>1</w:t>
        </w:r>
      </w:hyperlink>
      <w:r w:rsidRPr="009F083C">
        <w:rPr>
          <w:rFonts w:ascii="Arial" w:eastAsia="Times New Roman" w:hAnsi="Arial" w:cs="Arial"/>
          <w:color w:val="000000"/>
          <w:sz w:val="20"/>
        </w:rPr>
        <w:t xml:space="preserve"> In addition, there is a risk of delayed maternal respiratory depression due to rostral spread of hydrophilic opioids such as morphine.</w:t>
      </w:r>
      <w:hyperlink r:id="rId19" w:anchor="P50" w:history="1">
        <w:r w:rsidRPr="009F083C">
          <w:rPr>
            <w:rStyle w:val="Hyperlink"/>
            <w:rFonts w:ascii="Arial" w:eastAsia="Times New Roman" w:hAnsi="Arial" w:cs="Arial"/>
            <w:b/>
            <w:color w:val="495F74"/>
            <w:sz w:val="20"/>
            <w:u w:val="none"/>
            <w:vertAlign w:val="superscript"/>
          </w:rPr>
          <w:t>5</w:t>
        </w:r>
      </w:hyperlink>
      <w:r w:rsidRPr="009F083C">
        <w:rPr>
          <w:rFonts w:ascii="Arial" w:eastAsia="Times New Roman" w:hAnsi="Arial" w:cs="Arial"/>
          <w:color w:val="000000"/>
          <w:sz w:val="20"/>
        </w:rPr>
        <w:t xml:space="preserve"> Furthermore, it is not always possible to provide neuraxial opioid analgesia due to logistic issues and/or the presence of medical contraindications.</w:t>
      </w:r>
      <w:hyperlink r:id="rId20" w:anchor="P51" w:history="1">
        <w:r w:rsidRPr="009F083C">
          <w:rPr>
            <w:rStyle w:val="Hyperlink"/>
            <w:rFonts w:ascii="Arial" w:eastAsia="Times New Roman" w:hAnsi="Arial" w:cs="Arial"/>
            <w:b/>
            <w:color w:val="495F74"/>
            <w:sz w:val="20"/>
            <w:u w:val="none"/>
            <w:vertAlign w:val="superscript"/>
          </w:rPr>
          <w:t>6</w:t>
        </w:r>
        <w:r w:rsidR="009F083C" w:rsidRPr="009F083C">
          <w:rPr>
            <w:rStyle w:val="Hyperlink"/>
            <w:rFonts w:ascii="Arial" w:eastAsia="Times New Roman" w:hAnsi="Arial" w:cs="Arial"/>
            <w:b/>
            <w:color w:val="495F74"/>
            <w:sz w:val="20"/>
            <w:u w:val="none"/>
            <w:vertAlign w:val="superscript"/>
          </w:rPr>
          <w:t xml:space="preserve">, </w:t>
        </w:r>
        <w:proofErr w:type="gramStart"/>
        <w:r w:rsidR="009F083C" w:rsidRPr="009F083C">
          <w:rPr>
            <w:rStyle w:val="Hyperlink"/>
            <w:rFonts w:ascii="Arial" w:eastAsia="Times New Roman" w:hAnsi="Arial" w:cs="Arial"/>
            <w:b/>
            <w:color w:val="495F74"/>
            <w:sz w:val="20"/>
            <w:u w:val="none"/>
            <w:vertAlign w:val="superscript"/>
          </w:rPr>
          <w:t>7</w:t>
        </w:r>
      </w:hyperlink>
      <w:r w:rsidRPr="009F083C">
        <w:rPr>
          <w:rFonts w:ascii="Arial" w:eastAsia="Times New Roman" w:hAnsi="Arial" w:cs="Arial"/>
          <w:color w:val="000000"/>
          <w:sz w:val="20"/>
        </w:rPr>
        <w:t xml:space="preserve"> Although IV morphine</w:t>
      </w:r>
      <w:proofErr w:type="gramEnd"/>
      <w:r w:rsidRPr="009F083C">
        <w:rPr>
          <w:rFonts w:ascii="Arial" w:eastAsia="Times New Roman" w:hAnsi="Arial" w:cs="Arial"/>
          <w:color w:val="000000"/>
          <w:sz w:val="20"/>
        </w:rPr>
        <w:t xml:space="preserve"> has a potent analgesic effect, the analgesia produced is often incomplete, and opioid-mediated side effects remain common.</w:t>
      </w:r>
      <w:hyperlink r:id="rId21" w:anchor="P44" w:history="1">
        <w:r w:rsidRPr="009F083C">
          <w:rPr>
            <w:rStyle w:val="Hyperlink"/>
            <w:rFonts w:ascii="Arial" w:eastAsia="Times New Roman" w:hAnsi="Arial" w:cs="Arial"/>
            <w:b/>
            <w:color w:val="495F74"/>
            <w:sz w:val="20"/>
            <w:u w:val="none"/>
            <w:vertAlign w:val="superscript"/>
          </w:rPr>
          <w:t>1</w:t>
        </w:r>
      </w:hyperlink>
      <w:r w:rsidRPr="009F083C">
        <w:rPr>
          <w:rFonts w:ascii="Arial" w:eastAsia="Times New Roman" w:hAnsi="Arial" w:cs="Arial"/>
          <w:color w:val="000000"/>
          <w:sz w:val="20"/>
        </w:rPr>
        <w:t xml:space="preserve"> Given these issues, there is considerable potential for a regional technique such as TAP blockade to comprise an effective component of a multimodal regimen after abdominal surgeries.</w:t>
      </w:r>
    </w:p>
    <w:p w:rsidR="009552B1" w:rsidRPr="008D74EE" w:rsidRDefault="00B0764B" w:rsidP="00D151D5">
      <w:pPr>
        <w:bidi w:val="0"/>
        <w:spacing w:before="75" w:after="75"/>
        <w:rPr>
          <w:rFonts w:ascii="Arial" w:eastAsia="Times New Roman" w:hAnsi="Arial" w:cs="Arial"/>
          <w:color w:val="000000"/>
          <w:sz w:val="20"/>
        </w:rPr>
      </w:pPr>
      <w:r w:rsidRPr="009F083C">
        <w:rPr>
          <w:rFonts w:ascii="Arial" w:eastAsia="Times New Roman" w:hAnsi="Arial" w:cs="Arial"/>
          <w:color w:val="000000"/>
          <w:sz w:val="20"/>
        </w:rPr>
        <w:t>Our study demonstrates that the ultrasound-guided TAP block reduced overall postoperative morphine requirements as compared with conventional TAP blockade in the first 24 postoperative hours</w:t>
      </w:r>
      <w:r w:rsidR="009552B1" w:rsidRPr="009F083C">
        <w:rPr>
          <w:rFonts w:ascii="Arial" w:eastAsia="Times New Roman" w:hAnsi="Arial" w:cs="Arial"/>
          <w:color w:val="000000"/>
          <w:sz w:val="20"/>
        </w:rPr>
        <w:t xml:space="preserve"> morphine-sparing effect of the ultrasound guided TAP </w:t>
      </w:r>
      <w:r w:rsidR="009552B1" w:rsidRPr="008D74EE">
        <w:rPr>
          <w:rFonts w:ascii="Arial" w:eastAsia="Times New Roman" w:hAnsi="Arial" w:cs="Arial"/>
          <w:color w:val="000000"/>
          <w:sz w:val="20"/>
        </w:rPr>
        <w:t>block</w:t>
      </w:r>
      <w:r w:rsidRPr="008D74EE">
        <w:rPr>
          <w:rFonts w:ascii="Arial" w:eastAsia="Times New Roman" w:hAnsi="Arial" w:cs="Arial"/>
          <w:color w:val="000000"/>
          <w:sz w:val="20"/>
        </w:rPr>
        <w:t>.</w:t>
      </w:r>
      <w:r w:rsidR="009552B1" w:rsidRPr="008D74EE">
        <w:rPr>
          <w:rFonts w:ascii="Arial" w:eastAsia="Times New Roman" w:hAnsi="Arial" w:cs="Arial"/>
          <w:color w:val="000000"/>
          <w:sz w:val="20"/>
        </w:rPr>
        <w:t xml:space="preserve"> Morphine sparing effect of the ultrasound guided TAP block indicates a higher failure rate with the conventional </w:t>
      </w:r>
      <w:r w:rsidR="009F083C" w:rsidRPr="008D74EE">
        <w:rPr>
          <w:rFonts w:ascii="Arial" w:eastAsia="Times New Roman" w:hAnsi="Arial" w:cs="Arial"/>
          <w:color w:val="000000"/>
          <w:sz w:val="20"/>
        </w:rPr>
        <w:t xml:space="preserve">TAP block </w:t>
      </w:r>
      <w:r w:rsidR="00D151D5" w:rsidRPr="008D74EE">
        <w:rPr>
          <w:rFonts w:ascii="Arial" w:eastAsia="Times New Roman" w:hAnsi="Arial" w:cs="Arial"/>
          <w:color w:val="000000"/>
          <w:sz w:val="20"/>
        </w:rPr>
        <w:t>technique</w:t>
      </w:r>
      <w:r w:rsidR="009552B1" w:rsidRPr="008D74EE">
        <w:rPr>
          <w:rFonts w:ascii="Arial" w:eastAsia="Times New Roman" w:hAnsi="Arial" w:cs="Arial"/>
          <w:color w:val="000000"/>
          <w:sz w:val="20"/>
        </w:rPr>
        <w:t>.</w:t>
      </w:r>
      <w:r w:rsidRPr="008D74EE">
        <w:rPr>
          <w:rFonts w:ascii="Arial" w:eastAsia="Times New Roman" w:hAnsi="Arial" w:cs="Arial"/>
          <w:color w:val="000000"/>
          <w:sz w:val="20"/>
        </w:rPr>
        <w:t xml:space="preserve"> The incidence of sedation, nausea, vomiting, and pruritus was reduced in the ultrasound guided TAP block group, a finding consistent with a morphine-sparing effect of the ultrasound guided TAP block.</w:t>
      </w:r>
    </w:p>
    <w:p w:rsidR="00896039" w:rsidRPr="008D74EE" w:rsidRDefault="009552B1" w:rsidP="00D151D5">
      <w:pPr>
        <w:bidi w:val="0"/>
        <w:spacing w:before="75" w:after="75"/>
        <w:rPr>
          <w:rFonts w:ascii="Arial" w:eastAsia="Times New Roman" w:hAnsi="Arial" w:cs="Arial"/>
          <w:color w:val="000000"/>
          <w:sz w:val="20"/>
          <w:vertAlign w:val="superscript"/>
        </w:rPr>
      </w:pPr>
      <w:r w:rsidRPr="008D74EE">
        <w:rPr>
          <w:rFonts w:ascii="Arial" w:eastAsia="Times New Roman" w:hAnsi="Arial" w:cs="Arial"/>
          <w:color w:val="000000"/>
          <w:sz w:val="20"/>
        </w:rPr>
        <w:t>This study in line with many other studies which concluded that TAP block can reduce postoperative 24 hour morphine consumption.</w:t>
      </w:r>
      <w:r w:rsidR="009F083C" w:rsidRPr="008D74EE">
        <w:rPr>
          <w:rFonts w:ascii="Arial" w:eastAsia="Times New Roman" w:hAnsi="Arial" w:cs="Arial"/>
          <w:color w:val="000000"/>
          <w:sz w:val="20"/>
          <w:vertAlign w:val="superscript"/>
        </w:rPr>
        <w:t xml:space="preserve">9, </w:t>
      </w:r>
      <w:proofErr w:type="gramStart"/>
      <w:r w:rsidR="009F083C" w:rsidRPr="008D74EE">
        <w:rPr>
          <w:rFonts w:ascii="Arial" w:eastAsia="Times New Roman" w:hAnsi="Arial" w:cs="Arial"/>
          <w:color w:val="000000"/>
          <w:sz w:val="20"/>
          <w:vertAlign w:val="superscript"/>
        </w:rPr>
        <w:t>10</w:t>
      </w:r>
      <w:r w:rsidRPr="008D74EE">
        <w:rPr>
          <w:rFonts w:ascii="Arial" w:eastAsia="Times New Roman" w:hAnsi="Arial" w:cs="Arial"/>
          <w:color w:val="000000"/>
          <w:sz w:val="20"/>
        </w:rPr>
        <w:t xml:space="preserve"> </w:t>
      </w:r>
      <w:r w:rsidR="00B0764B" w:rsidRPr="008D74EE">
        <w:rPr>
          <w:rFonts w:ascii="Arial" w:eastAsia="Times New Roman" w:hAnsi="Arial" w:cs="Arial"/>
          <w:color w:val="000000"/>
          <w:sz w:val="20"/>
        </w:rPr>
        <w:t xml:space="preserve"> </w:t>
      </w:r>
      <w:r w:rsidR="00D151D5" w:rsidRPr="008D74EE">
        <w:rPr>
          <w:rFonts w:ascii="Arial" w:eastAsia="Times New Roman" w:hAnsi="Arial" w:cs="Arial"/>
          <w:color w:val="000000"/>
          <w:sz w:val="20"/>
        </w:rPr>
        <w:t>Also</w:t>
      </w:r>
      <w:proofErr w:type="gramEnd"/>
      <w:r w:rsidR="00D151D5" w:rsidRPr="008D74EE">
        <w:rPr>
          <w:rFonts w:ascii="Arial" w:eastAsia="Times New Roman" w:hAnsi="Arial" w:cs="Arial"/>
          <w:color w:val="000000"/>
          <w:sz w:val="20"/>
        </w:rPr>
        <w:t xml:space="preserve"> this study goes with McDermott et al. </w:t>
      </w:r>
      <w:r w:rsidR="00D151D5" w:rsidRPr="008D74EE">
        <w:rPr>
          <w:rFonts w:ascii="Arial" w:eastAsia="Times New Roman" w:hAnsi="Arial" w:cs="Arial"/>
          <w:color w:val="000000"/>
          <w:sz w:val="20"/>
        </w:rPr>
        <w:lastRenderedPageBreak/>
        <w:t xml:space="preserve">study who concluded that </w:t>
      </w:r>
      <w:r w:rsidR="00D151D5" w:rsidRPr="008D74EE">
        <w:rPr>
          <w:rFonts w:ascii="Arial" w:eastAsia="Times New Roman" w:hAnsi="Arial" w:cs="Arial"/>
          <w:color w:val="000000" w:themeColor="text1"/>
          <w:sz w:val="20"/>
          <w:lang w:val="en"/>
        </w:rPr>
        <w:t>the needle and local anesthetic placement using the standard landmark-based approach to the TAP block is inaccurate, and the incidence of peritoneal placement is unacceptably high.</w:t>
      </w:r>
      <w:r w:rsidR="00D151D5" w:rsidRPr="008D74EE">
        <w:rPr>
          <w:rFonts w:ascii="Arial" w:eastAsia="Times New Roman" w:hAnsi="Arial" w:cs="Arial"/>
          <w:color w:val="000000" w:themeColor="text1"/>
          <w:sz w:val="20"/>
          <w:vertAlign w:val="superscript"/>
          <w:lang w:val="en"/>
        </w:rPr>
        <w:t>11</w:t>
      </w:r>
    </w:p>
    <w:p w:rsidR="00896039" w:rsidRPr="009F083C" w:rsidRDefault="00B0764B">
      <w:pPr>
        <w:bidi w:val="0"/>
        <w:spacing w:before="75" w:after="75"/>
        <w:rPr>
          <w:rFonts w:ascii="Arial" w:eastAsia="Times New Roman" w:hAnsi="Arial" w:cs="Arial"/>
          <w:color w:val="000000"/>
          <w:sz w:val="20"/>
        </w:rPr>
      </w:pPr>
      <w:r w:rsidRPr="008D74EE">
        <w:rPr>
          <w:rFonts w:ascii="Arial" w:eastAsia="Times New Roman" w:hAnsi="Arial" w:cs="Arial"/>
          <w:color w:val="000000"/>
          <w:sz w:val="20"/>
        </w:rPr>
        <w:t>There are a number of limitations to this study. First, the study limited assessment of postoperative analgesia to the first 24 postoperative hours. However, other studies demonstrated that TAP block may result in effective pain control up to 48 hours.</w:t>
      </w:r>
      <w:r w:rsidRPr="008D74EE">
        <w:rPr>
          <w:rFonts w:ascii="Arial" w:eastAsia="Times New Roman" w:hAnsi="Arial" w:cs="Arial"/>
          <w:color w:val="000000"/>
          <w:sz w:val="20"/>
          <w:vertAlign w:val="superscript"/>
        </w:rPr>
        <w:t>8</w:t>
      </w:r>
      <w:r w:rsidRPr="008D74EE">
        <w:rPr>
          <w:rFonts w:ascii="Arial" w:eastAsia="Times New Roman" w:hAnsi="Arial" w:cs="Arial"/>
          <w:color w:val="000000"/>
          <w:sz w:val="20"/>
        </w:rPr>
        <w:t xml:space="preserve"> Second, there are difficulties in adequately blinding these types of studies, given that the TAP block produces loss of sensation of the abdominal wall. Although patients and the investigator</w:t>
      </w:r>
      <w:r w:rsidRPr="009F083C">
        <w:rPr>
          <w:rFonts w:ascii="Arial" w:eastAsia="Times New Roman" w:hAnsi="Arial" w:cs="Arial"/>
          <w:color w:val="000000"/>
          <w:sz w:val="20"/>
        </w:rPr>
        <w:t xml:space="preserve"> conducting the postoperative assessments were technically blinded to group allocation, true blinding may not have been possible. Third, there was no control group to assess the efficacy of the TAP block in reducing morphine consumption in the control group. There is a risk of inadvertent peritoneal puncture with conventional block technique. Although the incidence is not known, if the conventional block is performed as described, the risk of peritoneal puncture is likely to be low and this risk can be avoided by the use of ultrasound technique to confirm needle position. A further limitation is that we did not assess the success rate of the block or the extent of abdominal wall sensory blockade. This was done to preserve blinding of the assessor. Future studies to determine the success rate of the block, particularly when performed by less experienced users, are required</w:t>
      </w:r>
    </w:p>
    <w:p w:rsidR="00896039" w:rsidRPr="009F083C" w:rsidRDefault="00B0764B">
      <w:pPr>
        <w:bidi w:val="0"/>
        <w:spacing w:before="75" w:after="75"/>
        <w:rPr>
          <w:rFonts w:ascii="Arial" w:eastAsia="Times New Roman" w:hAnsi="Arial" w:cs="Arial"/>
          <w:color w:val="000000"/>
          <w:sz w:val="20"/>
        </w:rPr>
      </w:pPr>
      <w:r w:rsidRPr="009F083C">
        <w:rPr>
          <w:rFonts w:ascii="Arial" w:eastAsia="Times New Roman" w:hAnsi="Arial" w:cs="Arial"/>
          <w:color w:val="000000"/>
          <w:sz w:val="20"/>
        </w:rPr>
        <w:t>We conclude that the ultrasound-guided TAP block as part of a multimodal analgesic regimen for post abdominal incision analgesia is effective and potentially more safe than conventional</w:t>
      </w:r>
      <w:r>
        <w:rPr>
          <w:rFonts w:asciiTheme="minorBidi" w:eastAsia="Times New Roman" w:hAnsiTheme="minorBidi"/>
          <w:color w:val="000000"/>
          <w:sz w:val="20"/>
        </w:rPr>
        <w:t xml:space="preserve"> </w:t>
      </w:r>
      <w:r w:rsidRPr="009F083C">
        <w:rPr>
          <w:rFonts w:ascii="Arial" w:eastAsia="Times New Roman" w:hAnsi="Arial" w:cs="Arial"/>
          <w:color w:val="000000"/>
          <w:sz w:val="20"/>
        </w:rPr>
        <w:t xml:space="preserve">TAP block. </w:t>
      </w:r>
    </w:p>
    <w:p w:rsidR="00896039" w:rsidRPr="009267EB" w:rsidRDefault="00B0764B">
      <w:pPr>
        <w:bidi w:val="0"/>
        <w:spacing w:before="375" w:after="225" w:line="240" w:lineRule="auto"/>
        <w:rPr>
          <w:rFonts w:ascii="Arial" w:eastAsia="Times New Roman" w:hAnsi="Arial" w:cs="Arial"/>
          <w:b/>
          <w:color w:val="000000"/>
          <w:szCs w:val="22"/>
        </w:rPr>
      </w:pPr>
      <w:r w:rsidRPr="009267EB">
        <w:rPr>
          <w:rFonts w:ascii="Arial" w:eastAsia="Times New Roman" w:hAnsi="Arial" w:cs="Arial"/>
          <w:b/>
          <w:color w:val="000000"/>
          <w:szCs w:val="22"/>
        </w:rPr>
        <w:t>REFERENCES</w:t>
      </w:r>
      <w:r w:rsidR="009267EB" w:rsidRPr="009267EB">
        <w:rPr>
          <w:rFonts w:ascii="Arial" w:eastAsia="Times New Roman" w:hAnsi="Arial" w:cs="Arial"/>
          <w:b/>
          <w:color w:val="000000"/>
          <w:szCs w:val="22"/>
        </w:rPr>
        <w:t>:</w:t>
      </w:r>
    </w:p>
    <w:p w:rsidR="00896039" w:rsidRDefault="00B0764B">
      <w:pPr>
        <w:bidi w:val="0"/>
        <w:spacing w:after="0" w:line="240" w:lineRule="auto"/>
        <w:rPr>
          <w:rFonts w:ascii="Arial" w:eastAsia="Times New Roman" w:hAnsi="Arial" w:cs="Arial"/>
          <w:color w:val="000000"/>
          <w:sz w:val="20"/>
        </w:rPr>
      </w:pPr>
      <w:r>
        <w:rPr>
          <w:rFonts w:ascii="Arial" w:eastAsia="Times New Roman" w:hAnsi="Arial" w:cs="Arial"/>
          <w:color w:val="000000"/>
          <w:sz w:val="20"/>
        </w:rPr>
        <w:t xml:space="preserve">1. Farragher </w:t>
      </w:r>
      <w:r w:rsidRPr="008D74EE">
        <w:rPr>
          <w:rFonts w:ascii="Arial" w:eastAsia="Times New Roman" w:hAnsi="Arial" w:cs="Arial"/>
          <w:color w:val="000000"/>
          <w:sz w:val="20"/>
        </w:rPr>
        <w:t>RA and Laffey JG. Postoperative pain management following cesarean section. In: Shorten G, Carr D, Harmon</w:t>
      </w:r>
      <w:bookmarkStart w:id="0" w:name="_GoBack"/>
      <w:bookmarkEnd w:id="0"/>
      <w:r>
        <w:rPr>
          <w:rFonts w:ascii="Arial" w:eastAsia="Times New Roman" w:hAnsi="Arial" w:cs="Arial"/>
          <w:color w:val="000000"/>
          <w:sz w:val="20"/>
        </w:rPr>
        <w:t xml:space="preserve"> D, et al., eds. Postoperative pain management: an evidence-based guide to practice. 1st ed. Philadelphia, PA: Saunders Elsevier, 2006:225–38 </w:t>
      </w:r>
    </w:p>
    <w:p w:rsidR="00896039" w:rsidRDefault="00896039">
      <w:pPr>
        <w:bidi w:val="0"/>
        <w:spacing w:after="0" w:line="240" w:lineRule="auto"/>
        <w:rPr>
          <w:rFonts w:ascii="Arial" w:eastAsia="Times New Roman" w:hAnsi="Arial" w:cs="Arial"/>
          <w:color w:val="000000"/>
          <w:sz w:val="20"/>
        </w:rPr>
      </w:pPr>
    </w:p>
    <w:p w:rsidR="00896039" w:rsidRDefault="00B0764B">
      <w:pPr>
        <w:bidi w:val="0"/>
        <w:spacing w:after="0" w:line="240" w:lineRule="auto"/>
        <w:rPr>
          <w:rFonts w:ascii="Arial" w:eastAsia="Times New Roman" w:hAnsi="Arial" w:cs="Arial"/>
          <w:color w:val="000000"/>
          <w:sz w:val="20"/>
        </w:rPr>
      </w:pPr>
      <w:r>
        <w:rPr>
          <w:rFonts w:ascii="Arial" w:eastAsia="Times New Roman" w:hAnsi="Arial" w:cs="Arial"/>
          <w:color w:val="000000"/>
          <w:sz w:val="20"/>
        </w:rPr>
        <w:t xml:space="preserve">2. Netter FH. Back and spinal cord. In: Netter FH, ed. Atlas of human anatomy. Summit, New Jersey: The Ciba-Geigy Corporation, 1989:145–55 </w:t>
      </w:r>
    </w:p>
    <w:p w:rsidR="00896039" w:rsidRDefault="00896039">
      <w:pPr>
        <w:bidi w:val="0"/>
        <w:spacing w:after="0" w:line="240" w:lineRule="auto"/>
        <w:rPr>
          <w:rFonts w:ascii="Arial" w:eastAsia="Times New Roman" w:hAnsi="Arial" w:cs="Arial"/>
          <w:color w:val="000000"/>
          <w:sz w:val="20"/>
        </w:rPr>
      </w:pPr>
    </w:p>
    <w:p w:rsidR="00896039" w:rsidRDefault="00B0764B">
      <w:pPr>
        <w:bidi w:val="0"/>
        <w:spacing w:after="0" w:line="240" w:lineRule="auto"/>
        <w:rPr>
          <w:rFonts w:ascii="Arial" w:eastAsia="Times New Roman" w:hAnsi="Arial" w:cs="Arial"/>
          <w:color w:val="000000"/>
          <w:sz w:val="20"/>
        </w:rPr>
      </w:pPr>
      <w:r>
        <w:rPr>
          <w:rFonts w:ascii="Arial" w:eastAsia="Times New Roman" w:hAnsi="Arial" w:cs="Arial"/>
          <w:color w:val="000000"/>
          <w:sz w:val="20"/>
        </w:rPr>
        <w:t xml:space="preserve">3. Netter FH. Abdomen posterolateral abdominal wall. In: Netter FH, ed. Atlas of human anatomy. Summit, New Jersey: The Ciba-Geigy Corporation, 1989:230–40 </w:t>
      </w:r>
    </w:p>
    <w:p w:rsidR="00896039" w:rsidRDefault="00896039">
      <w:pPr>
        <w:bidi w:val="0"/>
        <w:spacing w:after="0" w:line="240" w:lineRule="auto"/>
        <w:rPr>
          <w:rFonts w:ascii="Arial" w:eastAsia="Times New Roman" w:hAnsi="Arial" w:cs="Arial"/>
          <w:color w:val="000000"/>
          <w:sz w:val="20"/>
        </w:rPr>
      </w:pPr>
    </w:p>
    <w:p w:rsidR="00896039" w:rsidRDefault="00B0764B">
      <w:pPr>
        <w:bidi w:val="0"/>
        <w:spacing w:after="0" w:line="240" w:lineRule="auto"/>
        <w:rPr>
          <w:rFonts w:ascii="Arial" w:eastAsia="Times New Roman" w:hAnsi="Arial" w:cs="Arial"/>
          <w:color w:val="000000"/>
          <w:sz w:val="20"/>
        </w:rPr>
      </w:pPr>
      <w:r>
        <w:rPr>
          <w:rFonts w:ascii="Arial" w:eastAsia="Times New Roman" w:hAnsi="Arial" w:cs="Arial"/>
          <w:color w:val="000000"/>
          <w:sz w:val="20"/>
        </w:rPr>
        <w:t xml:space="preserve">4. McDonnell JG, O’Donnell B, Curley G, Heffernan A, Power C, Laffey JG. The analgesic efficacy of transversus abdominis plane block after abdominal surgery: a prospective randomized controlled trial. Anesth Analg 2007;104:193–7 </w:t>
      </w:r>
    </w:p>
    <w:p w:rsidR="00896039" w:rsidRDefault="00896039">
      <w:pPr>
        <w:bidi w:val="0"/>
        <w:spacing w:after="0" w:line="240" w:lineRule="auto"/>
        <w:rPr>
          <w:rFonts w:ascii="Arial" w:eastAsia="Times New Roman" w:hAnsi="Arial" w:cs="Arial"/>
          <w:color w:val="000000"/>
          <w:sz w:val="20"/>
        </w:rPr>
      </w:pPr>
    </w:p>
    <w:p w:rsidR="00896039" w:rsidRDefault="00B0764B">
      <w:pPr>
        <w:bidi w:val="0"/>
        <w:spacing w:after="0" w:line="240" w:lineRule="auto"/>
        <w:rPr>
          <w:rFonts w:ascii="Arial" w:eastAsia="Times New Roman" w:hAnsi="Arial" w:cs="Arial"/>
          <w:color w:val="000000"/>
          <w:sz w:val="20"/>
        </w:rPr>
      </w:pPr>
      <w:r>
        <w:rPr>
          <w:rFonts w:ascii="Arial" w:eastAsia="Times New Roman" w:hAnsi="Arial" w:cs="Arial"/>
          <w:color w:val="000000"/>
          <w:sz w:val="20"/>
        </w:rPr>
        <w:t xml:space="preserve">5. Dahl JB, Jeppesen IS, Jorgensen H, Wetterslev J, Moiniche S. Intraoperative and postoperative analgesic efficacy and adverse effects of intrathecal opioids in patients undergoing cesarean section with spinal anesthesia: a qualitative and quantitative systematic review of randomized controlled trials. Anesthesiology 1999;91:1919–27 </w:t>
      </w:r>
    </w:p>
    <w:p w:rsidR="00896039" w:rsidRDefault="00896039">
      <w:pPr>
        <w:bidi w:val="0"/>
        <w:spacing w:after="0" w:line="240" w:lineRule="auto"/>
        <w:rPr>
          <w:rFonts w:ascii="Arial" w:eastAsia="Times New Roman" w:hAnsi="Arial" w:cs="Arial"/>
          <w:color w:val="000000"/>
          <w:sz w:val="20"/>
        </w:rPr>
      </w:pPr>
    </w:p>
    <w:p w:rsidR="00896039" w:rsidRDefault="00B0764B">
      <w:pPr>
        <w:bidi w:val="0"/>
        <w:spacing w:after="0" w:line="240" w:lineRule="auto"/>
        <w:rPr>
          <w:rFonts w:ascii="Arial" w:eastAsia="Times New Roman" w:hAnsi="Arial" w:cs="Arial"/>
          <w:color w:val="000000"/>
          <w:sz w:val="20"/>
        </w:rPr>
      </w:pPr>
      <w:r>
        <w:rPr>
          <w:rFonts w:ascii="Arial" w:eastAsia="Times New Roman" w:hAnsi="Arial" w:cs="Arial"/>
          <w:color w:val="000000"/>
          <w:sz w:val="20"/>
        </w:rPr>
        <w:t xml:space="preserve">6. Werawatganon T, Charuluxanun S. Patient controlled intravenous opioid analgesia versus continuous epidural analgesia for pain after intra-abdominal surgery. Cochrane Database Syst Rev 2005;CD004088 </w:t>
      </w:r>
    </w:p>
    <w:p w:rsidR="00896039" w:rsidRDefault="00896039">
      <w:pPr>
        <w:bidi w:val="0"/>
        <w:spacing w:after="0" w:line="240" w:lineRule="auto"/>
        <w:rPr>
          <w:rFonts w:ascii="Arial" w:eastAsia="Times New Roman" w:hAnsi="Arial" w:cs="Arial"/>
          <w:color w:val="000000"/>
          <w:sz w:val="20"/>
        </w:rPr>
      </w:pPr>
    </w:p>
    <w:p w:rsidR="00896039" w:rsidRDefault="00B0764B">
      <w:pPr>
        <w:bidi w:val="0"/>
        <w:spacing w:after="0" w:line="240" w:lineRule="auto"/>
        <w:rPr>
          <w:rFonts w:ascii="Arial" w:eastAsia="Times New Roman" w:hAnsi="Arial" w:cs="Arial"/>
          <w:color w:val="000000"/>
          <w:sz w:val="20"/>
        </w:rPr>
      </w:pPr>
      <w:r>
        <w:rPr>
          <w:rFonts w:ascii="Arial" w:eastAsia="Times New Roman" w:hAnsi="Arial" w:cs="Arial"/>
          <w:color w:val="000000"/>
          <w:sz w:val="20"/>
        </w:rPr>
        <w:t xml:space="preserve">7. Fotiadis RJ, Badvie S, Weston MD, Allen-Mersh TG. Epidural analgesia in gastrointestinal surgery. Br J Surg 2004;91:828–41 </w:t>
      </w:r>
    </w:p>
    <w:p w:rsidR="00896039" w:rsidRDefault="00896039">
      <w:pPr>
        <w:bidi w:val="0"/>
        <w:spacing w:after="0" w:line="240" w:lineRule="auto"/>
        <w:rPr>
          <w:rFonts w:ascii="Arial" w:eastAsia="Times New Roman" w:hAnsi="Arial" w:cs="Arial"/>
          <w:color w:val="000000"/>
          <w:sz w:val="20"/>
        </w:rPr>
      </w:pPr>
    </w:p>
    <w:p w:rsidR="00896039" w:rsidRDefault="00896039">
      <w:pPr>
        <w:bidi w:val="0"/>
        <w:spacing w:after="0" w:line="240" w:lineRule="auto"/>
        <w:rPr>
          <w:rFonts w:ascii="Arial" w:eastAsia="Times New Roman" w:hAnsi="Arial" w:cs="Arial"/>
          <w:color w:val="000000"/>
          <w:sz w:val="20"/>
        </w:rPr>
      </w:pPr>
    </w:p>
    <w:p w:rsidR="00896039" w:rsidRPr="009F083C" w:rsidRDefault="00B0764B">
      <w:pPr>
        <w:shd w:val="clear" w:color="auto" w:fill="FFFFFF"/>
        <w:bidi w:val="0"/>
        <w:spacing w:after="0" w:line="240" w:lineRule="auto"/>
        <w:rPr>
          <w:rFonts w:ascii="Arial" w:eastAsia="Times New Roman" w:hAnsi="Arial" w:cs="Arial"/>
          <w:sz w:val="20"/>
          <w:lang w:val="en-AU"/>
        </w:rPr>
      </w:pPr>
      <w:r w:rsidRPr="009F083C">
        <w:rPr>
          <w:rFonts w:ascii="Arial" w:hAnsi="Arial" w:cs="Arial"/>
          <w:color w:val="000000"/>
          <w:sz w:val="20"/>
        </w:rPr>
        <w:t xml:space="preserve">8. </w:t>
      </w:r>
      <w:hyperlink r:id="rId22" w:history="1">
        <w:r w:rsidRPr="009F083C">
          <w:rPr>
            <w:rFonts w:ascii="Arial" w:hAnsi="Arial" w:cs="Arial"/>
            <w:sz w:val="20"/>
          </w:rPr>
          <w:t>Carney J</w:t>
        </w:r>
      </w:hyperlink>
      <w:r w:rsidRPr="009F083C">
        <w:rPr>
          <w:rFonts w:ascii="Arial" w:hAnsi="Arial" w:cs="Arial"/>
          <w:sz w:val="20"/>
        </w:rPr>
        <w:t xml:space="preserve">1, </w:t>
      </w:r>
      <w:hyperlink r:id="rId23" w:history="1">
        <w:r w:rsidRPr="009F083C">
          <w:rPr>
            <w:rFonts w:ascii="Arial" w:hAnsi="Arial" w:cs="Arial"/>
            <w:sz w:val="20"/>
          </w:rPr>
          <w:t>McDonnell JG</w:t>
        </w:r>
      </w:hyperlink>
      <w:r w:rsidRPr="009F083C">
        <w:rPr>
          <w:rFonts w:ascii="Arial" w:hAnsi="Arial" w:cs="Arial"/>
          <w:sz w:val="20"/>
        </w:rPr>
        <w:t xml:space="preserve">, </w:t>
      </w:r>
      <w:hyperlink r:id="rId24" w:history="1">
        <w:proofErr w:type="spellStart"/>
        <w:r w:rsidRPr="009F083C">
          <w:rPr>
            <w:rFonts w:ascii="Arial" w:hAnsi="Arial" w:cs="Arial"/>
            <w:sz w:val="20"/>
          </w:rPr>
          <w:t>Ochana</w:t>
        </w:r>
        <w:proofErr w:type="spellEnd"/>
        <w:r w:rsidRPr="009F083C">
          <w:rPr>
            <w:rFonts w:ascii="Arial" w:hAnsi="Arial" w:cs="Arial"/>
            <w:sz w:val="20"/>
          </w:rPr>
          <w:t xml:space="preserve"> A</w:t>
        </w:r>
      </w:hyperlink>
      <w:r w:rsidRPr="009F083C">
        <w:rPr>
          <w:rFonts w:ascii="Arial" w:hAnsi="Arial" w:cs="Arial"/>
          <w:sz w:val="20"/>
        </w:rPr>
        <w:t xml:space="preserve">, </w:t>
      </w:r>
      <w:hyperlink r:id="rId25" w:history="1">
        <w:proofErr w:type="spellStart"/>
        <w:r w:rsidRPr="009F083C">
          <w:rPr>
            <w:rFonts w:ascii="Arial" w:hAnsi="Arial" w:cs="Arial"/>
            <w:sz w:val="20"/>
          </w:rPr>
          <w:t>Bhinder</w:t>
        </w:r>
        <w:proofErr w:type="spellEnd"/>
        <w:r w:rsidRPr="009F083C">
          <w:rPr>
            <w:rFonts w:ascii="Arial" w:hAnsi="Arial" w:cs="Arial"/>
            <w:sz w:val="20"/>
          </w:rPr>
          <w:t xml:space="preserve"> R</w:t>
        </w:r>
      </w:hyperlink>
      <w:r w:rsidRPr="009F083C">
        <w:rPr>
          <w:rFonts w:ascii="Arial" w:hAnsi="Arial" w:cs="Arial"/>
          <w:sz w:val="20"/>
        </w:rPr>
        <w:t xml:space="preserve">, </w:t>
      </w:r>
      <w:hyperlink r:id="rId26" w:history="1">
        <w:proofErr w:type="spellStart"/>
        <w:r w:rsidRPr="009F083C">
          <w:rPr>
            <w:rFonts w:ascii="Arial" w:hAnsi="Arial" w:cs="Arial"/>
            <w:sz w:val="20"/>
          </w:rPr>
          <w:t>Laffey</w:t>
        </w:r>
        <w:proofErr w:type="spellEnd"/>
        <w:r w:rsidRPr="009F083C">
          <w:rPr>
            <w:rFonts w:ascii="Arial" w:hAnsi="Arial" w:cs="Arial"/>
            <w:sz w:val="20"/>
          </w:rPr>
          <w:t xml:space="preserve"> JG</w:t>
        </w:r>
      </w:hyperlink>
      <w:r w:rsidRPr="009F083C">
        <w:rPr>
          <w:rFonts w:ascii="Arial" w:hAnsi="Arial" w:cs="Arial"/>
          <w:sz w:val="20"/>
        </w:rPr>
        <w:t>.</w:t>
      </w:r>
      <w:r w:rsidRPr="009F083C">
        <w:rPr>
          <w:rFonts w:ascii="Arial" w:eastAsia="Times New Roman" w:hAnsi="Arial" w:cs="Arial"/>
          <w:b/>
          <w:color w:val="FF0000"/>
          <w:sz w:val="20"/>
          <w:lang w:val="en-AU"/>
        </w:rPr>
        <w:t xml:space="preserve"> </w:t>
      </w:r>
      <w:r w:rsidRPr="009F083C">
        <w:rPr>
          <w:rFonts w:ascii="Arial" w:eastAsia="Times New Roman" w:hAnsi="Arial" w:cs="Arial"/>
          <w:sz w:val="20"/>
          <w:lang w:val="en-AU"/>
        </w:rPr>
        <w:t xml:space="preserve">The Transversus Abdominis Plane Block Provides Effective Postoperative Analgesia in Patients Undergoing Total Abdominal Hysterectomy. </w:t>
      </w:r>
      <w:r w:rsidRPr="009F083C">
        <w:rPr>
          <w:rStyle w:val="HTMLCite"/>
          <w:rFonts w:ascii="Arial" w:hAnsi="Arial" w:cs="Arial"/>
          <w:i w:val="0"/>
          <w:sz w:val="20"/>
          <w:lang w:val="en-AU"/>
        </w:rPr>
        <w:t xml:space="preserve">Anesth Analg </w:t>
      </w:r>
      <w:r w:rsidRPr="009F083C">
        <w:rPr>
          <w:rStyle w:val="Cit-print-date"/>
          <w:rFonts w:ascii="Arial" w:hAnsi="Arial" w:cs="Arial"/>
          <w:sz w:val="20"/>
          <w:lang w:val="en-AU"/>
        </w:rPr>
        <w:t>December 2008</w:t>
      </w:r>
      <w:proofErr w:type="gramStart"/>
      <w:r w:rsidRPr="009F083C">
        <w:rPr>
          <w:rStyle w:val="Cit-print-date"/>
          <w:rFonts w:ascii="Arial" w:hAnsi="Arial" w:cs="Arial"/>
          <w:sz w:val="20"/>
          <w:lang w:val="en-AU"/>
        </w:rPr>
        <w:t>;</w:t>
      </w:r>
      <w:r w:rsidRPr="009F083C">
        <w:rPr>
          <w:rStyle w:val="Cit-vol2"/>
          <w:rFonts w:ascii="Arial" w:hAnsi="Arial" w:cs="Arial"/>
          <w:sz w:val="20"/>
          <w:lang w:val="en-AU"/>
        </w:rPr>
        <w:t>107</w:t>
      </w:r>
      <w:r w:rsidRPr="009F083C">
        <w:rPr>
          <w:rStyle w:val="Cit-sep3"/>
          <w:rFonts w:ascii="Arial" w:hAnsi="Arial" w:cs="Arial"/>
          <w:sz w:val="20"/>
          <w:lang w:val="en-AU"/>
        </w:rPr>
        <w:t>:</w:t>
      </w:r>
      <w:r w:rsidRPr="009F083C">
        <w:rPr>
          <w:rStyle w:val="Cit-first-page"/>
          <w:rFonts w:ascii="Arial" w:hAnsi="Arial" w:cs="Arial"/>
          <w:sz w:val="20"/>
          <w:lang w:val="en-AU"/>
        </w:rPr>
        <w:t>2056</w:t>
      </w:r>
      <w:proofErr w:type="gramEnd"/>
      <w:r w:rsidRPr="009F083C">
        <w:rPr>
          <w:rStyle w:val="Cit-sep3"/>
          <w:rFonts w:ascii="Arial" w:hAnsi="Arial" w:cs="Arial"/>
          <w:sz w:val="20"/>
          <w:lang w:val="en-AU"/>
        </w:rPr>
        <w:t>-</w:t>
      </w:r>
      <w:r w:rsidRPr="009F083C">
        <w:rPr>
          <w:rStyle w:val="Cit-last-page2"/>
          <w:rFonts w:ascii="Arial" w:hAnsi="Arial" w:cs="Arial"/>
          <w:sz w:val="20"/>
          <w:lang w:val="en-AU"/>
        </w:rPr>
        <w:t>2060</w:t>
      </w:r>
      <w:r w:rsidRPr="009F083C">
        <w:rPr>
          <w:rFonts w:ascii="Arial" w:eastAsia="Times New Roman" w:hAnsi="Arial" w:cs="Arial"/>
          <w:sz w:val="20"/>
          <w:lang w:val="en-AU"/>
        </w:rPr>
        <w:t xml:space="preserve"> </w:t>
      </w:r>
    </w:p>
    <w:p w:rsidR="00896039" w:rsidRPr="009F083C" w:rsidRDefault="00896039">
      <w:pPr>
        <w:bidi w:val="0"/>
        <w:rPr>
          <w:rFonts w:ascii="Arial" w:hAnsi="Arial" w:cs="Arial"/>
          <w:sz w:val="20"/>
          <w:lang w:val="en-AU"/>
        </w:rPr>
      </w:pPr>
    </w:p>
    <w:p w:rsidR="009552B1" w:rsidRPr="009F083C" w:rsidRDefault="009F083C" w:rsidP="009F083C">
      <w:pPr>
        <w:autoSpaceDE w:val="0"/>
        <w:autoSpaceDN w:val="0"/>
        <w:adjustRightInd w:val="0"/>
        <w:spacing w:line="360" w:lineRule="auto"/>
        <w:jc w:val="right"/>
        <w:rPr>
          <w:rFonts w:ascii="Arial" w:hAnsi="Arial" w:cs="Arial"/>
          <w:color w:val="000000" w:themeColor="text1"/>
          <w:sz w:val="20"/>
        </w:rPr>
      </w:pPr>
      <w:r>
        <w:rPr>
          <w:rFonts w:ascii="Arial" w:hAnsi="Arial" w:cs="Arial"/>
          <w:b/>
          <w:bCs/>
          <w:color w:val="000000" w:themeColor="text1"/>
          <w:sz w:val="20"/>
        </w:rPr>
        <w:lastRenderedPageBreak/>
        <w:t>9</w:t>
      </w:r>
      <w:r w:rsidRPr="009F083C">
        <w:rPr>
          <w:rFonts w:ascii="Arial" w:hAnsi="Arial" w:cs="Arial"/>
          <w:color w:val="000000" w:themeColor="text1"/>
          <w:sz w:val="20"/>
        </w:rPr>
        <w:t xml:space="preserve">. </w:t>
      </w:r>
      <w:proofErr w:type="spellStart"/>
      <w:r w:rsidR="009552B1" w:rsidRPr="009F083C">
        <w:rPr>
          <w:rFonts w:ascii="Arial" w:hAnsi="Arial" w:cs="Arial"/>
          <w:color w:val="000000" w:themeColor="text1"/>
          <w:sz w:val="20"/>
        </w:rPr>
        <w:t>Siddiqui</w:t>
      </w:r>
      <w:proofErr w:type="spellEnd"/>
      <w:r w:rsidR="009552B1" w:rsidRPr="009F083C">
        <w:rPr>
          <w:rFonts w:ascii="Arial" w:hAnsi="Arial" w:cs="Arial"/>
          <w:color w:val="000000" w:themeColor="text1"/>
          <w:sz w:val="20"/>
        </w:rPr>
        <w:t xml:space="preserve"> MRS, </w:t>
      </w:r>
      <w:proofErr w:type="spellStart"/>
      <w:r w:rsidR="009552B1" w:rsidRPr="009F083C">
        <w:rPr>
          <w:rFonts w:ascii="Arial" w:hAnsi="Arial" w:cs="Arial"/>
          <w:color w:val="000000" w:themeColor="text1"/>
          <w:sz w:val="20"/>
        </w:rPr>
        <w:t>Sajid</w:t>
      </w:r>
      <w:proofErr w:type="spellEnd"/>
      <w:r w:rsidR="009552B1" w:rsidRPr="009F083C">
        <w:rPr>
          <w:rFonts w:ascii="Arial" w:hAnsi="Arial" w:cs="Arial"/>
          <w:color w:val="000000" w:themeColor="text1"/>
          <w:sz w:val="20"/>
        </w:rPr>
        <w:t xml:space="preserve"> MS, Uncles DR, Cheek L, </w:t>
      </w:r>
      <w:proofErr w:type="spellStart"/>
      <w:r w:rsidR="009552B1" w:rsidRPr="009F083C">
        <w:rPr>
          <w:rFonts w:ascii="Arial" w:hAnsi="Arial" w:cs="Arial"/>
          <w:color w:val="000000" w:themeColor="text1"/>
          <w:sz w:val="20"/>
        </w:rPr>
        <w:t>Baig</w:t>
      </w:r>
      <w:proofErr w:type="spellEnd"/>
      <w:r w:rsidR="009552B1" w:rsidRPr="009F083C">
        <w:rPr>
          <w:rFonts w:ascii="Arial" w:hAnsi="Arial" w:cs="Arial"/>
          <w:color w:val="000000" w:themeColor="text1"/>
          <w:sz w:val="20"/>
        </w:rPr>
        <w:t xml:space="preserve"> MK. </w:t>
      </w:r>
      <w:proofErr w:type="gramStart"/>
      <w:r w:rsidR="009552B1" w:rsidRPr="009F083C">
        <w:rPr>
          <w:rFonts w:ascii="Arial" w:hAnsi="Arial" w:cs="Arial"/>
          <w:color w:val="000000" w:themeColor="text1"/>
          <w:sz w:val="20"/>
        </w:rPr>
        <w:t>A meta-analysis on the clinical effectiveness of transverses abdominis plane block.</w:t>
      </w:r>
      <w:proofErr w:type="gramEnd"/>
      <w:r w:rsidR="009552B1" w:rsidRPr="009F083C">
        <w:rPr>
          <w:rFonts w:ascii="Arial" w:hAnsi="Arial" w:cs="Arial"/>
          <w:color w:val="000000" w:themeColor="text1"/>
          <w:sz w:val="20"/>
        </w:rPr>
        <w:t xml:space="preserve"> </w:t>
      </w:r>
      <w:r w:rsidR="009552B1" w:rsidRPr="009F083C">
        <w:rPr>
          <w:rFonts w:ascii="Arial" w:hAnsi="Arial" w:cs="Arial"/>
          <w:i/>
          <w:iCs/>
          <w:color w:val="000000" w:themeColor="text1"/>
          <w:sz w:val="20"/>
        </w:rPr>
        <w:t xml:space="preserve">J </w:t>
      </w:r>
      <w:proofErr w:type="spellStart"/>
      <w:r w:rsidR="009552B1" w:rsidRPr="009F083C">
        <w:rPr>
          <w:rFonts w:ascii="Arial" w:hAnsi="Arial" w:cs="Arial"/>
          <w:i/>
          <w:iCs/>
          <w:color w:val="000000" w:themeColor="text1"/>
          <w:sz w:val="20"/>
        </w:rPr>
        <w:t>Clini</w:t>
      </w:r>
      <w:proofErr w:type="spellEnd"/>
      <w:r w:rsidR="009552B1" w:rsidRPr="009F083C">
        <w:rPr>
          <w:rFonts w:ascii="Arial" w:hAnsi="Arial" w:cs="Arial"/>
          <w:i/>
          <w:iCs/>
          <w:color w:val="000000" w:themeColor="text1"/>
          <w:sz w:val="20"/>
        </w:rPr>
        <w:t xml:space="preserve"> </w:t>
      </w:r>
      <w:proofErr w:type="spellStart"/>
      <w:r w:rsidR="009552B1" w:rsidRPr="009F083C">
        <w:rPr>
          <w:rFonts w:ascii="Arial" w:hAnsi="Arial" w:cs="Arial"/>
          <w:i/>
          <w:iCs/>
          <w:color w:val="000000" w:themeColor="text1"/>
          <w:sz w:val="20"/>
        </w:rPr>
        <w:t>Anesth</w:t>
      </w:r>
      <w:proofErr w:type="spellEnd"/>
      <w:r w:rsidR="009552B1" w:rsidRPr="009F083C">
        <w:rPr>
          <w:rFonts w:ascii="Arial" w:hAnsi="Arial" w:cs="Arial"/>
          <w:i/>
          <w:iCs/>
          <w:color w:val="000000" w:themeColor="text1"/>
          <w:sz w:val="20"/>
        </w:rPr>
        <w:t xml:space="preserve"> </w:t>
      </w:r>
      <w:r w:rsidR="009552B1" w:rsidRPr="009F083C">
        <w:rPr>
          <w:rFonts w:ascii="Arial" w:hAnsi="Arial" w:cs="Arial"/>
          <w:color w:val="000000" w:themeColor="text1"/>
          <w:sz w:val="20"/>
        </w:rPr>
        <w:t>2011; 23: 7–14.</w:t>
      </w:r>
    </w:p>
    <w:p w:rsidR="00896039" w:rsidRPr="009F083C" w:rsidRDefault="00896039" w:rsidP="009F083C">
      <w:pPr>
        <w:bidi w:val="0"/>
        <w:jc w:val="both"/>
        <w:rPr>
          <w:rFonts w:ascii="Arial" w:hAnsi="Arial" w:cs="Arial"/>
          <w:color w:val="000000"/>
          <w:sz w:val="20"/>
        </w:rPr>
      </w:pPr>
    </w:p>
    <w:p w:rsidR="00D151D5" w:rsidRPr="00D151D5" w:rsidRDefault="00D151D5" w:rsidP="00D151D5">
      <w:pPr>
        <w:shd w:val="clear" w:color="auto" w:fill="FFFFFF"/>
        <w:spacing w:before="94" w:line="360" w:lineRule="auto"/>
        <w:jc w:val="right"/>
        <w:outlineLvl w:val="1"/>
        <w:rPr>
          <w:rFonts w:ascii="Arial" w:hAnsi="Arial" w:cs="Arial"/>
          <w:kern w:val="36"/>
          <w:sz w:val="20"/>
          <w:lang w:val="en"/>
        </w:rPr>
      </w:pPr>
      <w:proofErr w:type="gramStart"/>
      <w:r w:rsidRPr="00D151D5">
        <w:rPr>
          <w:rFonts w:ascii="Arial" w:hAnsi="Arial" w:cs="Arial"/>
          <w:color w:val="000000"/>
          <w:sz w:val="20"/>
        </w:rPr>
        <w:t xml:space="preserve">10. P. L. Petersen, O. </w:t>
      </w:r>
      <w:proofErr w:type="spellStart"/>
      <w:r w:rsidRPr="00D151D5">
        <w:rPr>
          <w:rFonts w:ascii="Arial" w:hAnsi="Arial" w:cs="Arial"/>
          <w:color w:val="000000"/>
          <w:sz w:val="20"/>
        </w:rPr>
        <w:t>Mathiesen</w:t>
      </w:r>
      <w:proofErr w:type="spellEnd"/>
      <w:r w:rsidRPr="00D151D5">
        <w:rPr>
          <w:rFonts w:ascii="Arial" w:hAnsi="Arial" w:cs="Arial"/>
          <w:color w:val="000000"/>
          <w:sz w:val="20"/>
        </w:rPr>
        <w:t xml:space="preserve">, H. </w:t>
      </w:r>
      <w:proofErr w:type="spellStart"/>
      <w:r w:rsidRPr="00D151D5">
        <w:rPr>
          <w:rFonts w:ascii="Arial" w:hAnsi="Arial" w:cs="Arial"/>
          <w:color w:val="000000"/>
          <w:sz w:val="20"/>
        </w:rPr>
        <w:t>Torup</w:t>
      </w:r>
      <w:proofErr w:type="spellEnd"/>
      <w:r w:rsidRPr="00D151D5">
        <w:rPr>
          <w:rFonts w:ascii="Arial" w:hAnsi="Arial" w:cs="Arial"/>
          <w:color w:val="000000"/>
          <w:sz w:val="20"/>
        </w:rPr>
        <w:t>, and J. B. Dahl.</w:t>
      </w:r>
      <w:proofErr w:type="gramEnd"/>
      <w:r w:rsidRPr="00D151D5">
        <w:rPr>
          <w:rFonts w:ascii="Arial" w:hAnsi="Arial" w:cs="Arial"/>
          <w:color w:val="000000"/>
          <w:sz w:val="20"/>
        </w:rPr>
        <w:t xml:space="preserve"> The transversus abdominis plane block: a valuable option for postoperative analgesia? A topical review, </w:t>
      </w:r>
      <w:proofErr w:type="spellStart"/>
      <w:r w:rsidRPr="00D151D5">
        <w:rPr>
          <w:rFonts w:ascii="Arial" w:hAnsi="Arial" w:cs="Arial"/>
          <w:i/>
          <w:iCs/>
          <w:color w:val="000000"/>
          <w:sz w:val="20"/>
        </w:rPr>
        <w:t>Acta</w:t>
      </w:r>
      <w:proofErr w:type="spellEnd"/>
      <w:r w:rsidRPr="00D151D5">
        <w:rPr>
          <w:rFonts w:ascii="Arial" w:hAnsi="Arial" w:cs="Arial"/>
          <w:i/>
          <w:iCs/>
          <w:color w:val="000000"/>
          <w:sz w:val="20"/>
        </w:rPr>
        <w:t xml:space="preserve"> </w:t>
      </w:r>
      <w:proofErr w:type="spellStart"/>
      <w:r w:rsidRPr="00D151D5">
        <w:rPr>
          <w:rFonts w:ascii="Arial" w:hAnsi="Arial" w:cs="Arial"/>
          <w:i/>
          <w:iCs/>
          <w:color w:val="000000"/>
          <w:sz w:val="20"/>
        </w:rPr>
        <w:t>Anaesthesiologica</w:t>
      </w:r>
      <w:proofErr w:type="spellEnd"/>
      <w:r w:rsidRPr="00D151D5">
        <w:rPr>
          <w:rFonts w:ascii="Arial" w:hAnsi="Arial" w:cs="Arial"/>
          <w:i/>
          <w:iCs/>
          <w:color w:val="000000"/>
          <w:sz w:val="20"/>
        </w:rPr>
        <w:t xml:space="preserve"> </w:t>
      </w:r>
      <w:proofErr w:type="spellStart"/>
      <w:r w:rsidRPr="00D151D5">
        <w:rPr>
          <w:rFonts w:ascii="Arial" w:hAnsi="Arial" w:cs="Arial"/>
          <w:i/>
          <w:iCs/>
          <w:color w:val="000000"/>
          <w:sz w:val="20"/>
        </w:rPr>
        <w:t>Scandinavica</w:t>
      </w:r>
      <w:proofErr w:type="spellEnd"/>
      <w:r w:rsidRPr="00D151D5">
        <w:rPr>
          <w:rFonts w:ascii="Arial" w:hAnsi="Arial" w:cs="Arial"/>
          <w:color w:val="000000"/>
          <w:sz w:val="20"/>
        </w:rPr>
        <w:t>, 2010; vol. 54, no. 5, pp. 529–535</w:t>
      </w:r>
    </w:p>
    <w:p w:rsidR="00D151D5" w:rsidRPr="009F083C" w:rsidRDefault="00D151D5" w:rsidP="00D151D5">
      <w:pPr>
        <w:bidi w:val="0"/>
        <w:rPr>
          <w:rFonts w:ascii="Arial" w:hAnsi="Arial" w:cs="Arial"/>
          <w:color w:val="000000"/>
          <w:sz w:val="20"/>
        </w:rPr>
      </w:pPr>
      <w:r w:rsidRPr="009F083C">
        <w:rPr>
          <w:rFonts w:ascii="Arial" w:hAnsi="Arial" w:cs="Arial"/>
          <w:sz w:val="20"/>
        </w:rPr>
        <w:t>1</w:t>
      </w:r>
      <w:r>
        <w:rPr>
          <w:rFonts w:ascii="Arial" w:hAnsi="Arial" w:cs="Arial"/>
          <w:sz w:val="20"/>
        </w:rPr>
        <w:t>1</w:t>
      </w:r>
      <w:r w:rsidRPr="009F083C">
        <w:rPr>
          <w:rFonts w:ascii="Arial" w:hAnsi="Arial" w:cs="Arial"/>
          <w:sz w:val="20"/>
        </w:rPr>
        <w:t xml:space="preserve">. </w:t>
      </w:r>
      <w:hyperlink r:id="rId27" w:history="1">
        <w:r w:rsidRPr="009F083C">
          <w:rPr>
            <w:rFonts w:ascii="Arial" w:hAnsi="Arial" w:cs="Arial"/>
            <w:color w:val="000000" w:themeColor="text1"/>
            <w:sz w:val="20"/>
          </w:rPr>
          <w:t>McDermott G</w:t>
        </w:r>
      </w:hyperlink>
      <w:r w:rsidRPr="009F083C">
        <w:rPr>
          <w:rFonts w:ascii="Arial" w:hAnsi="Arial" w:cs="Arial"/>
          <w:color w:val="000000" w:themeColor="text1"/>
          <w:sz w:val="20"/>
        </w:rPr>
        <w:t xml:space="preserve">1, </w:t>
      </w:r>
      <w:hyperlink r:id="rId28" w:history="1">
        <w:proofErr w:type="spellStart"/>
        <w:r w:rsidRPr="009F083C">
          <w:rPr>
            <w:rFonts w:ascii="Arial" w:hAnsi="Arial" w:cs="Arial"/>
            <w:color w:val="000000" w:themeColor="text1"/>
            <w:sz w:val="20"/>
          </w:rPr>
          <w:t>Korba</w:t>
        </w:r>
        <w:proofErr w:type="spellEnd"/>
        <w:r w:rsidRPr="009F083C">
          <w:rPr>
            <w:rFonts w:ascii="Arial" w:hAnsi="Arial" w:cs="Arial"/>
            <w:color w:val="000000" w:themeColor="text1"/>
            <w:sz w:val="20"/>
          </w:rPr>
          <w:t xml:space="preserve"> E</w:t>
        </w:r>
      </w:hyperlink>
      <w:r w:rsidRPr="009F083C">
        <w:rPr>
          <w:rFonts w:ascii="Arial" w:hAnsi="Arial" w:cs="Arial"/>
          <w:color w:val="000000" w:themeColor="text1"/>
          <w:sz w:val="20"/>
        </w:rPr>
        <w:t xml:space="preserve">, </w:t>
      </w:r>
      <w:hyperlink r:id="rId29" w:history="1">
        <w:r w:rsidRPr="009F083C">
          <w:rPr>
            <w:rFonts w:ascii="Arial" w:hAnsi="Arial" w:cs="Arial"/>
            <w:color w:val="000000" w:themeColor="text1"/>
            <w:sz w:val="20"/>
          </w:rPr>
          <w:t>Mata U</w:t>
        </w:r>
      </w:hyperlink>
      <w:r w:rsidRPr="009F083C">
        <w:rPr>
          <w:rFonts w:ascii="Arial" w:hAnsi="Arial" w:cs="Arial"/>
          <w:color w:val="000000" w:themeColor="text1"/>
          <w:sz w:val="20"/>
        </w:rPr>
        <w:t xml:space="preserve">, </w:t>
      </w:r>
      <w:hyperlink r:id="rId30" w:history="1">
        <w:proofErr w:type="spellStart"/>
        <w:r w:rsidRPr="009F083C">
          <w:rPr>
            <w:rFonts w:ascii="Arial" w:hAnsi="Arial" w:cs="Arial"/>
            <w:color w:val="000000" w:themeColor="text1"/>
            <w:sz w:val="20"/>
          </w:rPr>
          <w:t>Jaigirdar</w:t>
        </w:r>
        <w:proofErr w:type="spellEnd"/>
        <w:r w:rsidRPr="009F083C">
          <w:rPr>
            <w:rFonts w:ascii="Arial" w:hAnsi="Arial" w:cs="Arial"/>
            <w:color w:val="000000" w:themeColor="text1"/>
            <w:sz w:val="20"/>
          </w:rPr>
          <w:t xml:space="preserve"> M</w:t>
        </w:r>
      </w:hyperlink>
      <w:r w:rsidRPr="009F083C">
        <w:rPr>
          <w:rFonts w:ascii="Arial" w:hAnsi="Arial" w:cs="Arial"/>
          <w:color w:val="000000" w:themeColor="text1"/>
          <w:sz w:val="20"/>
        </w:rPr>
        <w:t xml:space="preserve">, </w:t>
      </w:r>
      <w:hyperlink r:id="rId31" w:history="1">
        <w:r w:rsidRPr="009F083C">
          <w:rPr>
            <w:rFonts w:ascii="Arial" w:hAnsi="Arial" w:cs="Arial"/>
            <w:color w:val="000000" w:themeColor="text1"/>
            <w:sz w:val="20"/>
          </w:rPr>
          <w:t>Narayanan N</w:t>
        </w:r>
      </w:hyperlink>
      <w:r w:rsidRPr="009F083C">
        <w:rPr>
          <w:rFonts w:ascii="Arial" w:hAnsi="Arial" w:cs="Arial"/>
          <w:color w:val="000000" w:themeColor="text1"/>
          <w:sz w:val="20"/>
        </w:rPr>
        <w:t xml:space="preserve">, </w:t>
      </w:r>
      <w:hyperlink r:id="rId32" w:history="1">
        <w:proofErr w:type="spellStart"/>
        <w:r w:rsidRPr="009F083C">
          <w:rPr>
            <w:rFonts w:ascii="Arial" w:hAnsi="Arial" w:cs="Arial"/>
            <w:color w:val="000000" w:themeColor="text1"/>
            <w:sz w:val="20"/>
          </w:rPr>
          <w:t>Boylan</w:t>
        </w:r>
        <w:proofErr w:type="spellEnd"/>
        <w:r w:rsidRPr="009F083C">
          <w:rPr>
            <w:rFonts w:ascii="Arial" w:hAnsi="Arial" w:cs="Arial"/>
            <w:color w:val="000000" w:themeColor="text1"/>
            <w:sz w:val="20"/>
          </w:rPr>
          <w:t xml:space="preserve"> J</w:t>
        </w:r>
      </w:hyperlink>
      <w:r w:rsidRPr="009F083C">
        <w:rPr>
          <w:rFonts w:ascii="Arial" w:hAnsi="Arial" w:cs="Arial"/>
          <w:color w:val="000000" w:themeColor="text1"/>
          <w:sz w:val="20"/>
        </w:rPr>
        <w:t xml:space="preserve">, </w:t>
      </w:r>
      <w:hyperlink r:id="rId33" w:history="1">
        <w:r w:rsidRPr="009F083C">
          <w:rPr>
            <w:rFonts w:ascii="Arial" w:hAnsi="Arial" w:cs="Arial"/>
            <w:color w:val="000000" w:themeColor="text1"/>
            <w:sz w:val="20"/>
          </w:rPr>
          <w:t>Conlon N</w:t>
        </w:r>
      </w:hyperlink>
      <w:r w:rsidRPr="009F083C">
        <w:rPr>
          <w:rFonts w:ascii="Arial" w:eastAsia="Times New Roman" w:hAnsi="Arial" w:cs="Arial"/>
          <w:color w:val="000000" w:themeColor="text1"/>
          <w:sz w:val="20"/>
        </w:rPr>
        <w:t xml:space="preserve">. </w:t>
      </w:r>
      <w:r w:rsidRPr="009F083C">
        <w:rPr>
          <w:rFonts w:ascii="Arial" w:eastAsia="Times New Roman" w:hAnsi="Arial" w:cs="Arial"/>
          <w:color w:val="000000" w:themeColor="text1"/>
          <w:kern w:val="36"/>
          <w:sz w:val="20"/>
        </w:rPr>
        <w:t>Should we stop doing blind transversus abdominis plane blocks</w:t>
      </w:r>
      <w:proofErr w:type="gramStart"/>
      <w:r w:rsidRPr="009F083C">
        <w:rPr>
          <w:rFonts w:ascii="Arial" w:eastAsia="Times New Roman" w:hAnsi="Arial" w:cs="Arial"/>
          <w:color w:val="000000" w:themeColor="text1"/>
          <w:kern w:val="36"/>
          <w:sz w:val="20"/>
        </w:rPr>
        <w:t>?.</w:t>
      </w:r>
      <w:proofErr w:type="gramEnd"/>
      <w:r w:rsidRPr="009F083C">
        <w:rPr>
          <w:rFonts w:ascii="Arial" w:eastAsia="Times New Roman" w:hAnsi="Arial" w:cs="Arial"/>
          <w:color w:val="000000" w:themeColor="text1"/>
          <w:kern w:val="36"/>
          <w:sz w:val="20"/>
        </w:rPr>
        <w:t xml:space="preserve"> </w:t>
      </w:r>
      <w:hyperlink r:id="rId34" w:tooltip="British journal of anaesthesia." w:history="1">
        <w:proofErr w:type="gramStart"/>
        <w:r w:rsidRPr="009F083C">
          <w:rPr>
            <w:rFonts w:ascii="Arial" w:hAnsi="Arial" w:cs="Arial"/>
            <w:i/>
            <w:iCs/>
            <w:color w:val="000000" w:themeColor="text1"/>
            <w:sz w:val="20"/>
          </w:rPr>
          <w:t xml:space="preserve">Br J </w:t>
        </w:r>
        <w:proofErr w:type="spellStart"/>
        <w:r w:rsidRPr="009F083C">
          <w:rPr>
            <w:rFonts w:ascii="Arial" w:hAnsi="Arial" w:cs="Arial"/>
            <w:i/>
            <w:iCs/>
            <w:color w:val="000000" w:themeColor="text1"/>
            <w:sz w:val="20"/>
          </w:rPr>
          <w:t>Anaesth</w:t>
        </w:r>
        <w:proofErr w:type="spellEnd"/>
        <w:r w:rsidRPr="009F083C">
          <w:rPr>
            <w:rFonts w:ascii="Arial" w:hAnsi="Arial" w:cs="Arial"/>
            <w:i/>
            <w:iCs/>
            <w:color w:val="000000" w:themeColor="text1"/>
            <w:sz w:val="20"/>
          </w:rPr>
          <w:t>.</w:t>
        </w:r>
        <w:proofErr w:type="gramEnd"/>
      </w:hyperlink>
      <w:r w:rsidRPr="009F083C">
        <w:rPr>
          <w:rFonts w:ascii="Arial" w:hAnsi="Arial" w:cs="Arial"/>
          <w:i/>
          <w:iCs/>
          <w:color w:val="000000" w:themeColor="text1"/>
          <w:sz w:val="20"/>
        </w:rPr>
        <w:t xml:space="preserve"> </w:t>
      </w:r>
      <w:r w:rsidRPr="009F083C">
        <w:rPr>
          <w:rFonts w:ascii="Arial" w:hAnsi="Arial" w:cs="Arial"/>
          <w:color w:val="000000" w:themeColor="text1"/>
          <w:sz w:val="20"/>
        </w:rPr>
        <w:t>2012 Mar; 108(3):499-502</w:t>
      </w:r>
    </w:p>
    <w:p w:rsidR="00896039" w:rsidRPr="00D151D5" w:rsidRDefault="00896039">
      <w:pPr>
        <w:bidi w:val="0"/>
        <w:rPr>
          <w:rFonts w:ascii="Arial" w:hAnsi="Arial" w:cs="Arial"/>
          <w:sz w:val="20"/>
        </w:rPr>
      </w:pPr>
    </w:p>
    <w:p w:rsidR="00896039" w:rsidRDefault="00896039">
      <w:pPr>
        <w:bidi w:val="0"/>
      </w:pPr>
    </w:p>
    <w:sectPr w:rsidR="00896039">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2">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6E4"/>
    <w:multiLevelType w:val="hybridMultilevel"/>
    <w:tmpl w:val="A77E0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042F8"/>
    <w:multiLevelType w:val="hybridMultilevel"/>
    <w:tmpl w:val="B8A8B952"/>
    <w:lvl w:ilvl="0" w:tplc="0A4A0544">
      <w:start w:val="1"/>
      <w:numFmt w:val="bullet"/>
      <w:lvlText w:val=""/>
      <w:lvlJc w:val="left"/>
      <w:pPr>
        <w:ind w:left="720" w:hanging="360"/>
      </w:pPr>
      <w:rPr>
        <w:rFonts w:ascii="Wingdings" w:hAnsi="Wingdings"/>
      </w:rPr>
    </w:lvl>
    <w:lvl w:ilvl="1" w:tplc="4B8003F6">
      <w:start w:val="1"/>
      <w:numFmt w:val="bullet"/>
      <w:lvlText w:val="o"/>
      <w:lvlJc w:val="left"/>
      <w:pPr>
        <w:ind w:left="1440" w:hanging="360"/>
      </w:pPr>
      <w:rPr>
        <w:rFonts w:ascii="Courier New" w:hAnsi="Courier New" w:cs="Courier New"/>
      </w:rPr>
    </w:lvl>
    <w:lvl w:ilvl="2" w:tplc="7430D7B8">
      <w:start w:val="1"/>
      <w:numFmt w:val="bullet"/>
      <w:lvlText w:val=""/>
      <w:lvlJc w:val="left"/>
      <w:pPr>
        <w:ind w:left="2160" w:hanging="360"/>
      </w:pPr>
      <w:rPr>
        <w:rFonts w:ascii="Wingdings" w:hAnsi="Wingdings"/>
      </w:rPr>
    </w:lvl>
    <w:lvl w:ilvl="3" w:tplc="597EC36A">
      <w:start w:val="1"/>
      <w:numFmt w:val="bullet"/>
      <w:lvlText w:val=""/>
      <w:lvlJc w:val="left"/>
      <w:pPr>
        <w:ind w:left="2880" w:hanging="360"/>
      </w:pPr>
      <w:rPr>
        <w:rFonts w:ascii="Symbol" w:hAnsi="Symbol"/>
      </w:rPr>
    </w:lvl>
    <w:lvl w:ilvl="4" w:tplc="301E3CE6">
      <w:start w:val="1"/>
      <w:numFmt w:val="bullet"/>
      <w:lvlText w:val="o"/>
      <w:lvlJc w:val="left"/>
      <w:pPr>
        <w:ind w:left="3600" w:hanging="360"/>
      </w:pPr>
      <w:rPr>
        <w:rFonts w:ascii="Courier New" w:hAnsi="Courier New" w:cs="Courier New"/>
      </w:rPr>
    </w:lvl>
    <w:lvl w:ilvl="5" w:tplc="D2663FD2">
      <w:start w:val="1"/>
      <w:numFmt w:val="bullet"/>
      <w:lvlText w:val=""/>
      <w:lvlJc w:val="left"/>
      <w:pPr>
        <w:ind w:left="4320" w:hanging="360"/>
      </w:pPr>
      <w:rPr>
        <w:rFonts w:ascii="Wingdings" w:hAnsi="Wingdings"/>
      </w:rPr>
    </w:lvl>
    <w:lvl w:ilvl="6" w:tplc="C9F8E764">
      <w:start w:val="1"/>
      <w:numFmt w:val="bullet"/>
      <w:lvlText w:val=""/>
      <w:lvlJc w:val="left"/>
      <w:pPr>
        <w:ind w:left="5040" w:hanging="360"/>
      </w:pPr>
      <w:rPr>
        <w:rFonts w:ascii="Symbol" w:hAnsi="Symbol"/>
      </w:rPr>
    </w:lvl>
    <w:lvl w:ilvl="7" w:tplc="75B8A34C">
      <w:start w:val="1"/>
      <w:numFmt w:val="bullet"/>
      <w:lvlText w:val="o"/>
      <w:lvlJc w:val="left"/>
      <w:pPr>
        <w:ind w:left="5760" w:hanging="360"/>
      </w:pPr>
      <w:rPr>
        <w:rFonts w:ascii="Courier New" w:hAnsi="Courier New" w:cs="Courier New"/>
      </w:rPr>
    </w:lvl>
    <w:lvl w:ilvl="8" w:tplc="1DCA37EC">
      <w:start w:val="1"/>
      <w:numFmt w:val="bullet"/>
      <w:lvlText w:val=""/>
      <w:lvlJc w:val="left"/>
      <w:pPr>
        <w:ind w:left="6480" w:hanging="360"/>
      </w:pPr>
      <w:rPr>
        <w:rFonts w:ascii="Wingdings" w:hAnsi="Wingdings"/>
      </w:rPr>
    </w:lvl>
  </w:abstractNum>
  <w:abstractNum w:abstractNumId="2">
    <w:nsid w:val="3E1A249E"/>
    <w:multiLevelType w:val="hybridMultilevel"/>
    <w:tmpl w:val="1772DD10"/>
    <w:lvl w:ilvl="0" w:tplc="293AE352">
      <w:start w:val="1"/>
      <w:numFmt w:val="bullet"/>
      <w:lvlText w:val=""/>
      <w:lvlJc w:val="left"/>
      <w:pPr>
        <w:ind w:left="502" w:hanging="360"/>
      </w:pPr>
      <w:rPr>
        <w:rFonts w:ascii="Symbol" w:hAnsi="Symbol"/>
        <w:color w:val="auto"/>
      </w:rPr>
    </w:lvl>
    <w:lvl w:ilvl="1" w:tplc="55F648DC">
      <w:start w:val="1"/>
      <w:numFmt w:val="bullet"/>
      <w:lvlText w:val="o"/>
      <w:lvlJc w:val="left"/>
      <w:pPr>
        <w:ind w:left="1080" w:hanging="360"/>
      </w:pPr>
      <w:rPr>
        <w:rFonts w:ascii="Courier New" w:hAnsi="Courier New" w:cs="Courier New"/>
      </w:rPr>
    </w:lvl>
    <w:lvl w:ilvl="2" w:tplc="78BA046A">
      <w:start w:val="1"/>
      <w:numFmt w:val="bullet"/>
      <w:lvlText w:val=""/>
      <w:lvlJc w:val="left"/>
      <w:pPr>
        <w:ind w:left="1800" w:hanging="360"/>
      </w:pPr>
      <w:rPr>
        <w:rFonts w:ascii="Wingdings" w:hAnsi="Wingdings"/>
      </w:rPr>
    </w:lvl>
    <w:lvl w:ilvl="3" w:tplc="D2D26FDC">
      <w:start w:val="1"/>
      <w:numFmt w:val="bullet"/>
      <w:lvlText w:val=""/>
      <w:lvlJc w:val="left"/>
      <w:pPr>
        <w:ind w:left="2520" w:hanging="360"/>
      </w:pPr>
      <w:rPr>
        <w:rFonts w:ascii="Symbol" w:hAnsi="Symbol"/>
      </w:rPr>
    </w:lvl>
    <w:lvl w:ilvl="4" w:tplc="E33E7048">
      <w:start w:val="1"/>
      <w:numFmt w:val="bullet"/>
      <w:lvlText w:val="o"/>
      <w:lvlJc w:val="left"/>
      <w:pPr>
        <w:ind w:left="3240" w:hanging="360"/>
      </w:pPr>
      <w:rPr>
        <w:rFonts w:ascii="Courier New" w:hAnsi="Courier New" w:cs="Courier New"/>
      </w:rPr>
    </w:lvl>
    <w:lvl w:ilvl="5" w:tplc="F8046272">
      <w:start w:val="1"/>
      <w:numFmt w:val="bullet"/>
      <w:lvlText w:val=""/>
      <w:lvlJc w:val="left"/>
      <w:pPr>
        <w:ind w:left="3960" w:hanging="360"/>
      </w:pPr>
      <w:rPr>
        <w:rFonts w:ascii="Wingdings" w:hAnsi="Wingdings"/>
      </w:rPr>
    </w:lvl>
    <w:lvl w:ilvl="6" w:tplc="121E5838">
      <w:start w:val="1"/>
      <w:numFmt w:val="bullet"/>
      <w:lvlText w:val=""/>
      <w:lvlJc w:val="left"/>
      <w:pPr>
        <w:ind w:left="4680" w:hanging="360"/>
      </w:pPr>
      <w:rPr>
        <w:rFonts w:ascii="Symbol" w:hAnsi="Symbol"/>
      </w:rPr>
    </w:lvl>
    <w:lvl w:ilvl="7" w:tplc="D2BE8190">
      <w:start w:val="1"/>
      <w:numFmt w:val="bullet"/>
      <w:lvlText w:val="o"/>
      <w:lvlJc w:val="left"/>
      <w:pPr>
        <w:ind w:left="5400" w:hanging="360"/>
      </w:pPr>
      <w:rPr>
        <w:rFonts w:ascii="Courier New" w:hAnsi="Courier New" w:cs="Courier New"/>
      </w:rPr>
    </w:lvl>
    <w:lvl w:ilvl="8" w:tplc="E8C8D582">
      <w:start w:val="1"/>
      <w:numFmt w:val="bullet"/>
      <w:lvlText w:val=""/>
      <w:lvlJc w:val="left"/>
      <w:pPr>
        <w:ind w:left="6120" w:hanging="360"/>
      </w:pPr>
      <w:rPr>
        <w:rFonts w:ascii="Wingdings" w:hAnsi="Wingdings"/>
      </w:rPr>
    </w:lvl>
  </w:abstractNum>
  <w:abstractNum w:abstractNumId="3">
    <w:nsid w:val="572E35A1"/>
    <w:multiLevelType w:val="hybridMultilevel"/>
    <w:tmpl w:val="638C8D60"/>
    <w:lvl w:ilvl="0" w:tplc="FF68F0F4">
      <w:start w:val="1"/>
      <w:numFmt w:val="bullet"/>
      <w:lvlText w:val="o"/>
      <w:lvlJc w:val="left"/>
      <w:pPr>
        <w:ind w:left="2085" w:hanging="360"/>
      </w:pPr>
      <w:rPr>
        <w:rFonts w:ascii="Courier New" w:hAnsi="Courier New" w:cs="Courier New"/>
      </w:rPr>
    </w:lvl>
    <w:lvl w:ilvl="1" w:tplc="886C2C76">
      <w:start w:val="1"/>
      <w:numFmt w:val="bullet"/>
      <w:lvlText w:val="o"/>
      <w:lvlJc w:val="left"/>
      <w:pPr>
        <w:ind w:left="2805" w:hanging="360"/>
      </w:pPr>
      <w:rPr>
        <w:rFonts w:ascii="Courier New" w:hAnsi="Courier New" w:cs="Courier New"/>
      </w:rPr>
    </w:lvl>
    <w:lvl w:ilvl="2" w:tplc="FAF063C2">
      <w:start w:val="1"/>
      <w:numFmt w:val="bullet"/>
      <w:lvlText w:val=""/>
      <w:lvlJc w:val="left"/>
      <w:pPr>
        <w:ind w:left="3525" w:hanging="360"/>
      </w:pPr>
      <w:rPr>
        <w:rFonts w:ascii="Wingdings" w:hAnsi="Wingdings"/>
      </w:rPr>
    </w:lvl>
    <w:lvl w:ilvl="3" w:tplc="7A9887C2">
      <w:start w:val="1"/>
      <w:numFmt w:val="bullet"/>
      <w:lvlText w:val=""/>
      <w:lvlJc w:val="left"/>
      <w:pPr>
        <w:ind w:left="4245" w:hanging="360"/>
      </w:pPr>
      <w:rPr>
        <w:rFonts w:ascii="Symbol" w:hAnsi="Symbol"/>
      </w:rPr>
    </w:lvl>
    <w:lvl w:ilvl="4" w:tplc="C0DC5C70">
      <w:start w:val="1"/>
      <w:numFmt w:val="bullet"/>
      <w:lvlText w:val="o"/>
      <w:lvlJc w:val="left"/>
      <w:pPr>
        <w:ind w:left="4965" w:hanging="360"/>
      </w:pPr>
      <w:rPr>
        <w:rFonts w:ascii="Courier New" w:hAnsi="Courier New" w:cs="Courier New"/>
      </w:rPr>
    </w:lvl>
    <w:lvl w:ilvl="5" w:tplc="B0541746">
      <w:start w:val="1"/>
      <w:numFmt w:val="bullet"/>
      <w:lvlText w:val=""/>
      <w:lvlJc w:val="left"/>
      <w:pPr>
        <w:ind w:left="5685" w:hanging="360"/>
      </w:pPr>
      <w:rPr>
        <w:rFonts w:ascii="Wingdings" w:hAnsi="Wingdings"/>
      </w:rPr>
    </w:lvl>
    <w:lvl w:ilvl="6" w:tplc="20E0BDD0">
      <w:start w:val="1"/>
      <w:numFmt w:val="bullet"/>
      <w:lvlText w:val=""/>
      <w:lvlJc w:val="left"/>
      <w:pPr>
        <w:ind w:left="6405" w:hanging="360"/>
      </w:pPr>
      <w:rPr>
        <w:rFonts w:ascii="Symbol" w:hAnsi="Symbol"/>
      </w:rPr>
    </w:lvl>
    <w:lvl w:ilvl="7" w:tplc="805008DC">
      <w:start w:val="1"/>
      <w:numFmt w:val="bullet"/>
      <w:lvlText w:val="o"/>
      <w:lvlJc w:val="left"/>
      <w:pPr>
        <w:ind w:left="7125" w:hanging="360"/>
      </w:pPr>
      <w:rPr>
        <w:rFonts w:ascii="Courier New" w:hAnsi="Courier New" w:cs="Courier New"/>
      </w:rPr>
    </w:lvl>
    <w:lvl w:ilvl="8" w:tplc="23305800">
      <w:start w:val="1"/>
      <w:numFmt w:val="bullet"/>
      <w:lvlText w:val=""/>
      <w:lvlJc w:val="left"/>
      <w:pPr>
        <w:ind w:left="7845"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68"/>
    <w:rsid w:val="00024BFF"/>
    <w:rsid w:val="00026F5A"/>
    <w:rsid w:val="00055E94"/>
    <w:rsid w:val="00090DA4"/>
    <w:rsid w:val="000C77DF"/>
    <w:rsid w:val="001060AC"/>
    <w:rsid w:val="001C1269"/>
    <w:rsid w:val="001E748E"/>
    <w:rsid w:val="001F54D3"/>
    <w:rsid w:val="00232E21"/>
    <w:rsid w:val="0026460F"/>
    <w:rsid w:val="002812E0"/>
    <w:rsid w:val="002C26AA"/>
    <w:rsid w:val="003253AC"/>
    <w:rsid w:val="00327190"/>
    <w:rsid w:val="00330BFA"/>
    <w:rsid w:val="00376FC4"/>
    <w:rsid w:val="003C42A3"/>
    <w:rsid w:val="004B14B2"/>
    <w:rsid w:val="004D5FAF"/>
    <w:rsid w:val="004E7BA6"/>
    <w:rsid w:val="00504D21"/>
    <w:rsid w:val="005D38B7"/>
    <w:rsid w:val="005E03E5"/>
    <w:rsid w:val="006224A2"/>
    <w:rsid w:val="00624B74"/>
    <w:rsid w:val="007151D8"/>
    <w:rsid w:val="007E6A20"/>
    <w:rsid w:val="00896039"/>
    <w:rsid w:val="008B5337"/>
    <w:rsid w:val="008D27AB"/>
    <w:rsid w:val="008D74EE"/>
    <w:rsid w:val="008F3B27"/>
    <w:rsid w:val="009267EB"/>
    <w:rsid w:val="009552B1"/>
    <w:rsid w:val="009B54E7"/>
    <w:rsid w:val="009F083C"/>
    <w:rsid w:val="00A54CED"/>
    <w:rsid w:val="00A92F94"/>
    <w:rsid w:val="00A94418"/>
    <w:rsid w:val="00AB45AC"/>
    <w:rsid w:val="00AD409A"/>
    <w:rsid w:val="00AE261F"/>
    <w:rsid w:val="00B0764B"/>
    <w:rsid w:val="00B274CB"/>
    <w:rsid w:val="00B55018"/>
    <w:rsid w:val="00B70FBA"/>
    <w:rsid w:val="00B72466"/>
    <w:rsid w:val="00B9684C"/>
    <w:rsid w:val="00BA1B9E"/>
    <w:rsid w:val="00BB6825"/>
    <w:rsid w:val="00BB7C68"/>
    <w:rsid w:val="00BC01BD"/>
    <w:rsid w:val="00C04363"/>
    <w:rsid w:val="00C41441"/>
    <w:rsid w:val="00C56935"/>
    <w:rsid w:val="00C6256F"/>
    <w:rsid w:val="00CD4C88"/>
    <w:rsid w:val="00D151D5"/>
    <w:rsid w:val="00D33F46"/>
    <w:rsid w:val="00D91156"/>
    <w:rsid w:val="00DD030C"/>
    <w:rsid w:val="00E31423"/>
    <w:rsid w:val="00E338D8"/>
    <w:rsid w:val="00E90146"/>
    <w:rsid w:val="00EE253B"/>
    <w:rsid w:val="00EF353E"/>
    <w:rsid w:val="00F709F2"/>
    <w:rsid w:val="00FA5E46"/>
    <w:rsid w:val="00FD3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bidi/>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Cit-vol2">
    <w:name w:val="Cit-vol2"/>
    <w:basedOn w:val="DefaultParagraphFont"/>
    <w:uiPriority w:val="99"/>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styleId="HTMLCite">
    <w:name w:val="HTML Cite"/>
    <w:uiPriority w:val="99"/>
    <w:semiHidden/>
    <w:unhideWhenUsed/>
    <w:rPr>
      <w:i/>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99"/>
    <w:qFormat/>
    <w:pPr>
      <w:bidi w:val="0"/>
      <w:spacing w:after="0" w:line="240" w:lineRule="auto"/>
      <w:ind w:left="720"/>
      <w:contextualSpacing/>
    </w:pPr>
    <w:rPr>
      <w:rFonts w:ascii="Times New Roman" w:eastAsia="Times New Roman" w:hAnsi="Times New Roman" w:cs="Times New Roman"/>
      <w:sz w:val="24"/>
      <w:lang w:val="en-GB" w:eastAsia="en-GB"/>
    </w:r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rPr>
      <w:rFonts w:eastAsiaTheme="minorEastAsia"/>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tabs>
        <w:tab w:val="center" w:pos="4153"/>
        <w:tab w:val="right" w:pos="8306"/>
      </w:tabs>
      <w:bidi w:val="0"/>
      <w:spacing w:after="0" w:line="240" w:lineRule="auto"/>
    </w:pPr>
    <w:rPr>
      <w:rFonts w:eastAsiaTheme="minorEastAsia"/>
      <w:lang w:val="en-GB" w:eastAsia="en-GB"/>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customStyle="1" w:styleId="Cit-first-page">
    <w:name w:val="Cit-first-page"/>
    <w:basedOn w:val="DefaultParagraphFont"/>
    <w:uiPriority w:val="99"/>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customStyle="1" w:styleId="Cit-last-page2">
    <w:name w:val="Cit-last-page2"/>
    <w:basedOn w:val="DefaultParagraphFont"/>
    <w:uiPriority w:val="99"/>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Cit-sep3">
    <w:name w:val="Cit-sep3"/>
    <w:basedOn w:val="DefaultParagraphFont"/>
    <w:uiPriority w:val="99"/>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character" w:customStyle="1" w:styleId="Cit-print-date">
    <w:name w:val="Cit-print-date"/>
    <w:basedOn w:val="DefaultParagraphFont"/>
    <w:uiPriority w:val="99"/>
  </w:style>
  <w:style w:type="table" w:styleId="TableGrid">
    <w:name w:val="Table Grid"/>
    <w:basedOn w:val="TableNormal"/>
    <w:uiPriority w:val="59"/>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bidi/>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Cit-vol2">
    <w:name w:val="Cit-vol2"/>
    <w:basedOn w:val="DefaultParagraphFont"/>
    <w:uiPriority w:val="99"/>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styleId="HTMLCite">
    <w:name w:val="HTML Cite"/>
    <w:uiPriority w:val="99"/>
    <w:semiHidden/>
    <w:unhideWhenUsed/>
    <w:rPr>
      <w:i/>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99"/>
    <w:qFormat/>
    <w:pPr>
      <w:bidi w:val="0"/>
      <w:spacing w:after="0" w:line="240" w:lineRule="auto"/>
      <w:ind w:left="720"/>
      <w:contextualSpacing/>
    </w:pPr>
    <w:rPr>
      <w:rFonts w:ascii="Times New Roman" w:eastAsia="Times New Roman" w:hAnsi="Times New Roman" w:cs="Times New Roman"/>
      <w:sz w:val="24"/>
      <w:lang w:val="en-GB" w:eastAsia="en-GB"/>
    </w:r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rPr>
      <w:rFonts w:eastAsiaTheme="minorEastAsia"/>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tabs>
        <w:tab w:val="center" w:pos="4153"/>
        <w:tab w:val="right" w:pos="8306"/>
      </w:tabs>
      <w:bidi w:val="0"/>
      <w:spacing w:after="0" w:line="240" w:lineRule="auto"/>
    </w:pPr>
    <w:rPr>
      <w:rFonts w:eastAsiaTheme="minorEastAsia"/>
      <w:lang w:val="en-GB" w:eastAsia="en-GB"/>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customStyle="1" w:styleId="Cit-first-page">
    <w:name w:val="Cit-first-page"/>
    <w:basedOn w:val="DefaultParagraphFont"/>
    <w:uiPriority w:val="99"/>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customStyle="1" w:styleId="Cit-last-page2">
    <w:name w:val="Cit-last-page2"/>
    <w:basedOn w:val="DefaultParagraphFont"/>
    <w:uiPriority w:val="99"/>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Cit-sep3">
    <w:name w:val="Cit-sep3"/>
    <w:basedOn w:val="DefaultParagraphFont"/>
    <w:uiPriority w:val="99"/>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character" w:customStyle="1" w:styleId="Cit-print-date">
    <w:name w:val="Cit-print-date"/>
    <w:basedOn w:val="DefaultParagraphFont"/>
    <w:uiPriority w:val="99"/>
  </w:style>
  <w:style w:type="table" w:styleId="TableGrid">
    <w:name w:val="Table Grid"/>
    <w:basedOn w:val="TableNormal"/>
    <w:uiPriority w:val="59"/>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3560">
      <w:bodyDiv w:val="1"/>
      <w:marLeft w:val="0"/>
      <w:marRight w:val="0"/>
      <w:marTop w:val="0"/>
      <w:marBottom w:val="0"/>
      <w:divBdr>
        <w:top w:val="none" w:sz="0" w:space="0" w:color="auto"/>
        <w:left w:val="none" w:sz="0" w:space="0" w:color="auto"/>
        <w:bottom w:val="none" w:sz="0" w:space="0" w:color="auto"/>
        <w:right w:val="none" w:sz="0" w:space="0" w:color="auto"/>
      </w:divBdr>
    </w:div>
    <w:div w:id="902642149">
      <w:bodyDiv w:val="1"/>
      <w:marLeft w:val="0"/>
      <w:marRight w:val="0"/>
      <w:marTop w:val="0"/>
      <w:marBottom w:val="0"/>
      <w:divBdr>
        <w:top w:val="none" w:sz="0" w:space="0" w:color="auto"/>
        <w:left w:val="none" w:sz="0" w:space="0" w:color="auto"/>
        <w:bottom w:val="none" w:sz="0" w:space="0" w:color="auto"/>
        <w:right w:val="none" w:sz="0" w:space="0" w:color="auto"/>
      </w:divBdr>
      <w:divsChild>
        <w:div w:id="1006978398">
          <w:marLeft w:val="0"/>
          <w:marRight w:val="1"/>
          <w:marTop w:val="0"/>
          <w:marBottom w:val="0"/>
          <w:divBdr>
            <w:top w:val="none" w:sz="0" w:space="0" w:color="auto"/>
            <w:left w:val="none" w:sz="0" w:space="0" w:color="auto"/>
            <w:bottom w:val="none" w:sz="0" w:space="0" w:color="auto"/>
            <w:right w:val="none" w:sz="0" w:space="0" w:color="auto"/>
          </w:divBdr>
          <w:divsChild>
            <w:div w:id="1909730832">
              <w:marLeft w:val="0"/>
              <w:marRight w:val="0"/>
              <w:marTop w:val="0"/>
              <w:marBottom w:val="0"/>
              <w:divBdr>
                <w:top w:val="none" w:sz="0" w:space="0" w:color="auto"/>
                <w:left w:val="none" w:sz="0" w:space="0" w:color="auto"/>
                <w:bottom w:val="none" w:sz="0" w:space="0" w:color="auto"/>
                <w:right w:val="none" w:sz="0" w:space="0" w:color="auto"/>
              </w:divBdr>
              <w:divsChild>
                <w:div w:id="1683824698">
                  <w:marLeft w:val="0"/>
                  <w:marRight w:val="1"/>
                  <w:marTop w:val="0"/>
                  <w:marBottom w:val="0"/>
                  <w:divBdr>
                    <w:top w:val="none" w:sz="0" w:space="0" w:color="auto"/>
                    <w:left w:val="none" w:sz="0" w:space="0" w:color="auto"/>
                    <w:bottom w:val="none" w:sz="0" w:space="0" w:color="auto"/>
                    <w:right w:val="none" w:sz="0" w:space="0" w:color="auto"/>
                  </w:divBdr>
                  <w:divsChild>
                    <w:div w:id="650646332">
                      <w:marLeft w:val="0"/>
                      <w:marRight w:val="0"/>
                      <w:marTop w:val="0"/>
                      <w:marBottom w:val="0"/>
                      <w:divBdr>
                        <w:top w:val="none" w:sz="0" w:space="0" w:color="auto"/>
                        <w:left w:val="none" w:sz="0" w:space="0" w:color="auto"/>
                        <w:bottom w:val="none" w:sz="0" w:space="0" w:color="auto"/>
                        <w:right w:val="none" w:sz="0" w:space="0" w:color="auto"/>
                      </w:divBdr>
                      <w:divsChild>
                        <w:div w:id="835732849">
                          <w:marLeft w:val="0"/>
                          <w:marRight w:val="0"/>
                          <w:marTop w:val="0"/>
                          <w:marBottom w:val="0"/>
                          <w:divBdr>
                            <w:top w:val="none" w:sz="0" w:space="0" w:color="auto"/>
                            <w:left w:val="none" w:sz="0" w:space="0" w:color="auto"/>
                            <w:bottom w:val="none" w:sz="0" w:space="0" w:color="auto"/>
                            <w:right w:val="none" w:sz="0" w:space="0" w:color="auto"/>
                          </w:divBdr>
                          <w:divsChild>
                            <w:div w:id="1175414349">
                              <w:marLeft w:val="0"/>
                              <w:marRight w:val="0"/>
                              <w:marTop w:val="120"/>
                              <w:marBottom w:val="360"/>
                              <w:divBdr>
                                <w:top w:val="none" w:sz="0" w:space="0" w:color="auto"/>
                                <w:left w:val="none" w:sz="0" w:space="0" w:color="auto"/>
                                <w:bottom w:val="none" w:sz="0" w:space="0" w:color="auto"/>
                                <w:right w:val="none" w:sz="0" w:space="0" w:color="auto"/>
                              </w:divBdr>
                              <w:divsChild>
                                <w:div w:id="6203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49233">
      <w:bodyDiv w:val="1"/>
      <w:marLeft w:val="0"/>
      <w:marRight w:val="0"/>
      <w:marTop w:val="0"/>
      <w:marBottom w:val="0"/>
      <w:divBdr>
        <w:top w:val="none" w:sz="0" w:space="0" w:color="auto"/>
        <w:left w:val="none" w:sz="0" w:space="0" w:color="auto"/>
        <w:bottom w:val="none" w:sz="0" w:space="0" w:color="auto"/>
        <w:right w:val="none" w:sz="0" w:space="0" w:color="auto"/>
      </w:divBdr>
      <w:divsChild>
        <w:div w:id="297492435">
          <w:marLeft w:val="0"/>
          <w:marRight w:val="1"/>
          <w:marTop w:val="0"/>
          <w:marBottom w:val="0"/>
          <w:divBdr>
            <w:top w:val="none" w:sz="0" w:space="0" w:color="auto"/>
            <w:left w:val="none" w:sz="0" w:space="0" w:color="auto"/>
            <w:bottom w:val="none" w:sz="0" w:space="0" w:color="auto"/>
            <w:right w:val="none" w:sz="0" w:space="0" w:color="auto"/>
          </w:divBdr>
          <w:divsChild>
            <w:div w:id="1145657564">
              <w:marLeft w:val="0"/>
              <w:marRight w:val="0"/>
              <w:marTop w:val="0"/>
              <w:marBottom w:val="0"/>
              <w:divBdr>
                <w:top w:val="none" w:sz="0" w:space="0" w:color="auto"/>
                <w:left w:val="none" w:sz="0" w:space="0" w:color="auto"/>
                <w:bottom w:val="none" w:sz="0" w:space="0" w:color="auto"/>
                <w:right w:val="none" w:sz="0" w:space="0" w:color="auto"/>
              </w:divBdr>
              <w:divsChild>
                <w:div w:id="279607102">
                  <w:marLeft w:val="0"/>
                  <w:marRight w:val="0"/>
                  <w:marTop w:val="0"/>
                  <w:marBottom w:val="0"/>
                  <w:divBdr>
                    <w:top w:val="none" w:sz="0" w:space="0" w:color="auto"/>
                    <w:left w:val="none" w:sz="0" w:space="0" w:color="auto"/>
                    <w:bottom w:val="none" w:sz="0" w:space="0" w:color="auto"/>
                    <w:right w:val="none" w:sz="0" w:space="0" w:color="auto"/>
                  </w:divBdr>
                  <w:divsChild>
                    <w:div w:id="1635672965">
                      <w:marLeft w:val="0"/>
                      <w:marRight w:val="0"/>
                      <w:marTop w:val="0"/>
                      <w:marBottom w:val="0"/>
                      <w:divBdr>
                        <w:top w:val="none" w:sz="0" w:space="0" w:color="auto"/>
                        <w:left w:val="none" w:sz="0" w:space="0" w:color="auto"/>
                        <w:bottom w:val="none" w:sz="0" w:space="0" w:color="auto"/>
                        <w:right w:val="none" w:sz="0" w:space="0" w:color="auto"/>
                      </w:divBdr>
                      <w:divsChild>
                        <w:div w:id="2064475019">
                          <w:marLeft w:val="384"/>
                          <w:marRight w:val="384"/>
                          <w:marTop w:val="0"/>
                          <w:marBottom w:val="0"/>
                          <w:divBdr>
                            <w:top w:val="none" w:sz="0" w:space="0" w:color="auto"/>
                            <w:left w:val="none" w:sz="0" w:space="0" w:color="auto"/>
                            <w:bottom w:val="none" w:sz="0" w:space="0" w:color="auto"/>
                            <w:right w:val="none" w:sz="0" w:space="0" w:color="auto"/>
                          </w:divBdr>
                          <w:divsChild>
                            <w:div w:id="760875712">
                              <w:marLeft w:val="0"/>
                              <w:marRight w:val="0"/>
                              <w:marTop w:val="0"/>
                              <w:marBottom w:val="0"/>
                              <w:divBdr>
                                <w:top w:val="none" w:sz="0" w:space="0" w:color="auto"/>
                                <w:left w:val="none" w:sz="0" w:space="0" w:color="auto"/>
                                <w:bottom w:val="none" w:sz="0" w:space="0" w:color="auto"/>
                                <w:right w:val="none" w:sz="0" w:space="0" w:color="auto"/>
                              </w:divBdr>
                              <w:divsChild>
                                <w:div w:id="196967180">
                                  <w:marLeft w:val="0"/>
                                  <w:marRight w:val="0"/>
                                  <w:marTop w:val="0"/>
                                  <w:marBottom w:val="0"/>
                                  <w:divBdr>
                                    <w:top w:val="none" w:sz="0" w:space="0" w:color="auto"/>
                                    <w:left w:val="none" w:sz="0" w:space="0" w:color="auto"/>
                                    <w:bottom w:val="none" w:sz="0" w:space="0" w:color="auto"/>
                                    <w:right w:val="none" w:sz="0" w:space="0" w:color="auto"/>
                                  </w:divBdr>
                                  <w:divsChild>
                                    <w:div w:id="565072405">
                                      <w:marLeft w:val="0"/>
                                      <w:marRight w:val="0"/>
                                      <w:marTop w:val="0"/>
                                      <w:marBottom w:val="0"/>
                                      <w:divBdr>
                                        <w:top w:val="none" w:sz="0" w:space="0" w:color="auto"/>
                                        <w:left w:val="none" w:sz="0" w:space="0" w:color="auto"/>
                                        <w:bottom w:val="none" w:sz="0" w:space="0" w:color="auto"/>
                                        <w:right w:val="none" w:sz="0" w:space="0" w:color="auto"/>
                                      </w:divBdr>
                                      <w:divsChild>
                                        <w:div w:id="2015184678">
                                          <w:marLeft w:val="0"/>
                                          <w:marRight w:val="0"/>
                                          <w:marTop w:val="0"/>
                                          <w:marBottom w:val="0"/>
                                          <w:divBdr>
                                            <w:top w:val="none" w:sz="0" w:space="0" w:color="auto"/>
                                            <w:left w:val="none" w:sz="0" w:space="0" w:color="auto"/>
                                            <w:bottom w:val="none" w:sz="0" w:space="0" w:color="auto"/>
                                            <w:right w:val="none" w:sz="0" w:space="0" w:color="auto"/>
                                          </w:divBdr>
                                        </w:div>
                                        <w:div w:id="994603420">
                                          <w:marLeft w:val="0"/>
                                          <w:marRight w:val="0"/>
                                          <w:marTop w:val="332"/>
                                          <w:marBottom w:val="332"/>
                                          <w:divBdr>
                                            <w:top w:val="none" w:sz="0" w:space="0" w:color="auto"/>
                                            <w:left w:val="none" w:sz="0" w:space="0" w:color="auto"/>
                                            <w:bottom w:val="none" w:sz="0" w:space="0" w:color="auto"/>
                                            <w:right w:val="none" w:sz="0" w:space="0" w:color="auto"/>
                                          </w:divBdr>
                                        </w:div>
                                        <w:div w:id="6605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journals.lww.com/anesthesia-analgesia/Fulltext/2008/01000/The_Analgesic_Efficacy_of_Transversus_Abdominis.35.aspx" TargetMode="External"/><Relationship Id="rId26" Type="http://schemas.openxmlformats.org/officeDocument/2006/relationships/hyperlink" Target="http://www.ncbi.nlm.nih.gov/pubmed/?term=Laffey%20JG%5BAuthor%5D&amp;cauthor=true&amp;cauthor_uid=19020158" TargetMode="External"/><Relationship Id="rId3" Type="http://schemas.microsoft.com/office/2007/relationships/stylesWithEffects" Target="stylesWithEffects.xml"/><Relationship Id="rId21" Type="http://schemas.openxmlformats.org/officeDocument/2006/relationships/hyperlink" Target="http://journals.lww.com/anesthesia-analgesia/Fulltext/2008/01000/The_Analgesic_Efficacy_of_Transversus_Abdominis.35.aspx" TargetMode="External"/><Relationship Id="rId34" Type="http://schemas.openxmlformats.org/officeDocument/2006/relationships/hyperlink" Target="http://www.ncbi.nlm.nih.gov/pubmed/22236911" TargetMode="External"/><Relationship Id="rId7" Type="http://schemas.openxmlformats.org/officeDocument/2006/relationships/hyperlink" Target="http://journals.lww.com/anesthesia-analgesia/Fulltext/2008/01000/The_Analgesic_Efficacy_of_Transversus_Abdominis.35.aspx" TargetMode="External"/><Relationship Id="rId12" Type="http://schemas.openxmlformats.org/officeDocument/2006/relationships/hyperlink" Target="javascript:void(0);" TargetMode="External"/><Relationship Id="rId17" Type="http://schemas.openxmlformats.org/officeDocument/2006/relationships/hyperlink" Target="http://journals.lww.com/anesthesia-analgesia/Fulltext/2008/01000/The_Analgesic_Efficacy_of_Transversus_Abdominis.35.aspx" TargetMode="External"/><Relationship Id="rId25" Type="http://schemas.openxmlformats.org/officeDocument/2006/relationships/hyperlink" Target="http://www.ncbi.nlm.nih.gov/pubmed/?term=Bhinder%20R%5BAuthor%5D&amp;cauthor=true&amp;cauthor_uid=19020158" TargetMode="External"/><Relationship Id="rId33" Type="http://schemas.openxmlformats.org/officeDocument/2006/relationships/hyperlink" Target="http://www.ncbi.nlm.nih.gov/pubmed/?term=Conlon%20N%5BAuthor%5D&amp;cauthor=true&amp;cauthor_uid=22236911"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journals.lww.com/anesthesia-analgesia/Fulltext/2008/01000/The_Analgesic_Efficacy_of_Transversus_Abdominis.35.aspx" TargetMode="External"/><Relationship Id="rId29" Type="http://schemas.openxmlformats.org/officeDocument/2006/relationships/hyperlink" Target="http://www.ncbi.nlm.nih.gov/pubmed/?term=Mata%20U%5BAuthor%5D&amp;cauthor=true&amp;cauthor_uid=22236911" TargetMode="External"/><Relationship Id="rId1" Type="http://schemas.openxmlformats.org/officeDocument/2006/relationships/numbering" Target="numbering.xml"/><Relationship Id="rId6" Type="http://schemas.openxmlformats.org/officeDocument/2006/relationships/hyperlink" Target="http://journals.lww.com/anesthesia-analgesia/Fulltext/2008/01000/The_Analgesic_Efficacy_of_Transversus_Abdominis.35.aspx" TargetMode="External"/><Relationship Id="rId11" Type="http://schemas.openxmlformats.org/officeDocument/2006/relationships/hyperlink" Target="http://journals.lww.com/anesthesia-analgesia/Fulltext/2008/01000/The_Analgesic_Efficacy_of_Transversus_Abdominis.35.aspx" TargetMode="External"/><Relationship Id="rId24" Type="http://schemas.openxmlformats.org/officeDocument/2006/relationships/hyperlink" Target="http://www.ncbi.nlm.nih.gov/pubmed/?term=Ochana%20A%5BAuthor%5D&amp;cauthor=true&amp;cauthor_uid=19020158" TargetMode="External"/><Relationship Id="rId32" Type="http://schemas.openxmlformats.org/officeDocument/2006/relationships/hyperlink" Target="http://www.ncbi.nlm.nih.gov/pubmed/?term=Boylan%20J%5BAuthor%5D&amp;cauthor=true&amp;cauthor_uid=22236911"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ncbi.nlm.nih.gov/pubmed/?term=McDonnell%20JG%5BAuthor%5D&amp;cauthor=true&amp;cauthor_uid=19020158" TargetMode="External"/><Relationship Id="rId28" Type="http://schemas.openxmlformats.org/officeDocument/2006/relationships/hyperlink" Target="http://www.ncbi.nlm.nih.gov/pubmed/?term=Korba%20E%5BAuthor%5D&amp;cauthor=true&amp;cauthor_uid=22236911" TargetMode="External"/><Relationship Id="rId36" Type="http://schemas.openxmlformats.org/officeDocument/2006/relationships/theme" Target="theme/theme1.xml"/><Relationship Id="rId10" Type="http://schemas.openxmlformats.org/officeDocument/2006/relationships/hyperlink" Target="http://journals.lww.com/anesthesia-analgesia/Fulltext/2008/01000/The_Analgesic_Efficacy_of_Transversus_Abdominis.35.aspx" TargetMode="External"/><Relationship Id="rId19" Type="http://schemas.openxmlformats.org/officeDocument/2006/relationships/hyperlink" Target="http://journals.lww.com/anesthesia-analgesia/Fulltext/2008/01000/The_Analgesic_Efficacy_of_Transversus_Abdominis.35.aspx" TargetMode="External"/><Relationship Id="rId31" Type="http://schemas.openxmlformats.org/officeDocument/2006/relationships/hyperlink" Target="http://www.ncbi.nlm.nih.gov/pubmed/?term=Narayanan%20N%5BAuthor%5D&amp;cauthor=true&amp;cauthor_uid=22236911" TargetMode="External"/><Relationship Id="rId4" Type="http://schemas.openxmlformats.org/officeDocument/2006/relationships/settings" Target="settings.xml"/><Relationship Id="rId9" Type="http://schemas.openxmlformats.org/officeDocument/2006/relationships/hyperlink" Target="http://journals.lww.com/anesthesia-analgesia/Fulltext/2008/01000/The_Analgesic_Efficacy_of_Transversus_Abdominis.35.aspx" TargetMode="External"/><Relationship Id="rId14" Type="http://schemas.openxmlformats.org/officeDocument/2006/relationships/chart" Target="charts/chart1.xml"/><Relationship Id="rId22" Type="http://schemas.openxmlformats.org/officeDocument/2006/relationships/hyperlink" Target="http://www.ncbi.nlm.nih.gov/pubmed/?term=Carney%20J%5BAuthor%5D&amp;cauthor=true&amp;cauthor_uid=19020158" TargetMode="External"/><Relationship Id="rId27" Type="http://schemas.openxmlformats.org/officeDocument/2006/relationships/hyperlink" Target="http://www.ncbi.nlm.nih.gov/pubmed/?term=McDermott%20G%5BAuthor%5D&amp;cauthor=true&amp;cauthor_uid=22236911" TargetMode="External"/><Relationship Id="rId30" Type="http://schemas.openxmlformats.org/officeDocument/2006/relationships/hyperlink" Target="http://www.ncbi.nlm.nih.gov/pubmed/?term=Jaigirdar%20M%5BAuthor%5D&amp;cauthor=true&amp;cauthor_uid=22236911" TargetMode="External"/><Relationship Id="rId35" Type="http://schemas.openxmlformats.org/officeDocument/2006/relationships/fontTable" Target="fontTable.xml"/><Relationship Id="rId8" Type="http://schemas.openxmlformats.org/officeDocument/2006/relationships/hyperlink" Target="http://journals.lww.com/anesthesia-analgesia/Fulltext/2008/12000/The_Transversus_Abdominis_Plane_Block_Provides.46.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44882633296896"/>
          <c:y val="9.1361813815826198E-2"/>
          <c:w val="0.50316908686697448"/>
          <c:h val="0.67838454235773715"/>
        </c:manualLayout>
      </c:layout>
      <c:lineChart>
        <c:grouping val="standard"/>
        <c:varyColors val="0"/>
        <c:ser>
          <c:idx val="0"/>
          <c:order val="0"/>
          <c:tx>
            <c:strRef>
              <c:f>Sheet1!$D$61</c:f>
              <c:strCache>
                <c:ptCount val="1"/>
                <c:pt idx="0">
                  <c:v>Group I</c:v>
                </c:pt>
              </c:strCache>
            </c:strRef>
          </c:tx>
          <c:errBars>
            <c:errDir val="y"/>
            <c:errBarType val="both"/>
            <c:errValType val="cust"/>
            <c:noEndCap val="0"/>
            <c:plus>
              <c:numRef>
                <c:f>Sheet1!$D$68:$D$73</c:f>
                <c:numCache>
                  <c:formatCode>General</c:formatCode>
                  <c:ptCount val="6"/>
                  <c:pt idx="0">
                    <c:v>2.0299999999999998</c:v>
                  </c:pt>
                  <c:pt idx="1">
                    <c:v>3.49</c:v>
                  </c:pt>
                  <c:pt idx="2">
                    <c:v>3.37</c:v>
                  </c:pt>
                  <c:pt idx="3">
                    <c:v>3.4</c:v>
                  </c:pt>
                  <c:pt idx="4">
                    <c:v>3.75</c:v>
                  </c:pt>
                  <c:pt idx="5">
                    <c:v>4.5599999999999996</c:v>
                  </c:pt>
                </c:numCache>
              </c:numRef>
            </c:plus>
            <c:minus>
              <c:numRef>
                <c:f>Sheet1!$D$68:$D$73</c:f>
                <c:numCache>
                  <c:formatCode>General</c:formatCode>
                  <c:ptCount val="6"/>
                  <c:pt idx="0">
                    <c:v>2.0299999999999998</c:v>
                  </c:pt>
                  <c:pt idx="1">
                    <c:v>3.49</c:v>
                  </c:pt>
                  <c:pt idx="2">
                    <c:v>3.37</c:v>
                  </c:pt>
                  <c:pt idx="3">
                    <c:v>3.4</c:v>
                  </c:pt>
                  <c:pt idx="4">
                    <c:v>3.75</c:v>
                  </c:pt>
                  <c:pt idx="5">
                    <c:v>4.5599999999999996</c:v>
                  </c:pt>
                </c:numCache>
              </c:numRef>
            </c:minus>
            <c:spPr>
              <a:ln>
                <a:solidFill>
                  <a:schemeClr val="accent1"/>
                </a:solidFill>
              </a:ln>
            </c:spPr>
          </c:errBars>
          <c:cat>
            <c:strRef>
              <c:f>Sheet1!$C$62:$C$67</c:f>
              <c:strCache>
                <c:ptCount val="6"/>
                <c:pt idx="0">
                  <c:v>At PACU</c:v>
                </c:pt>
                <c:pt idx="1">
                  <c:v>2 hrs.</c:v>
                </c:pt>
                <c:pt idx="2">
                  <c:v>4 hrs.</c:v>
                </c:pt>
                <c:pt idx="3">
                  <c:v>8 hrs.</c:v>
                </c:pt>
                <c:pt idx="4">
                  <c:v>12 hrs.</c:v>
                </c:pt>
                <c:pt idx="5">
                  <c:v>24 hrs.</c:v>
                </c:pt>
              </c:strCache>
            </c:strRef>
          </c:cat>
          <c:val>
            <c:numRef>
              <c:f>Sheet1!$D$62:$D$67</c:f>
              <c:numCache>
                <c:formatCode>General</c:formatCode>
                <c:ptCount val="6"/>
                <c:pt idx="0">
                  <c:v>7.7</c:v>
                </c:pt>
                <c:pt idx="1">
                  <c:v>4.5999999999999996</c:v>
                </c:pt>
                <c:pt idx="2">
                  <c:v>3.3</c:v>
                </c:pt>
                <c:pt idx="3">
                  <c:v>3.9</c:v>
                </c:pt>
                <c:pt idx="4">
                  <c:v>4.5</c:v>
                </c:pt>
                <c:pt idx="5">
                  <c:v>9.1</c:v>
                </c:pt>
              </c:numCache>
            </c:numRef>
          </c:val>
          <c:smooth val="0"/>
        </c:ser>
        <c:ser>
          <c:idx val="1"/>
          <c:order val="1"/>
          <c:tx>
            <c:strRef>
              <c:f>Sheet1!$E$61</c:f>
              <c:strCache>
                <c:ptCount val="1"/>
                <c:pt idx="0">
                  <c:v>Group II</c:v>
                </c:pt>
              </c:strCache>
            </c:strRef>
          </c:tx>
          <c:errBars>
            <c:errDir val="y"/>
            <c:errBarType val="both"/>
            <c:errValType val="cust"/>
            <c:noEndCap val="0"/>
            <c:plus>
              <c:numRef>
                <c:f>Sheet1!$E$68:$E$73</c:f>
                <c:numCache>
                  <c:formatCode>General</c:formatCode>
                  <c:ptCount val="6"/>
                  <c:pt idx="0">
                    <c:v>2.04</c:v>
                  </c:pt>
                  <c:pt idx="1">
                    <c:v>2.65</c:v>
                  </c:pt>
                  <c:pt idx="2">
                    <c:v>2.17</c:v>
                  </c:pt>
                  <c:pt idx="3">
                    <c:v>2.4500000000000002</c:v>
                  </c:pt>
                  <c:pt idx="4">
                    <c:v>2.37</c:v>
                  </c:pt>
                  <c:pt idx="5">
                    <c:v>3.56</c:v>
                  </c:pt>
                </c:numCache>
              </c:numRef>
            </c:plus>
            <c:minus>
              <c:numRef>
                <c:f>Sheet1!$E$68:$E$73</c:f>
                <c:numCache>
                  <c:formatCode>General</c:formatCode>
                  <c:ptCount val="6"/>
                  <c:pt idx="0">
                    <c:v>2.04</c:v>
                  </c:pt>
                  <c:pt idx="1">
                    <c:v>2.65</c:v>
                  </c:pt>
                  <c:pt idx="2">
                    <c:v>2.17</c:v>
                  </c:pt>
                  <c:pt idx="3">
                    <c:v>2.4500000000000002</c:v>
                  </c:pt>
                  <c:pt idx="4">
                    <c:v>2.37</c:v>
                  </c:pt>
                  <c:pt idx="5">
                    <c:v>3.56</c:v>
                  </c:pt>
                </c:numCache>
              </c:numRef>
            </c:minus>
            <c:spPr>
              <a:ln>
                <a:solidFill>
                  <a:schemeClr val="accent2"/>
                </a:solidFill>
              </a:ln>
            </c:spPr>
          </c:errBars>
          <c:cat>
            <c:strRef>
              <c:f>Sheet1!$C$62:$C$67</c:f>
              <c:strCache>
                <c:ptCount val="6"/>
                <c:pt idx="0">
                  <c:v>At PACU</c:v>
                </c:pt>
                <c:pt idx="1">
                  <c:v>2 hrs.</c:v>
                </c:pt>
                <c:pt idx="2">
                  <c:v>4 hrs.</c:v>
                </c:pt>
                <c:pt idx="3">
                  <c:v>8 hrs.</c:v>
                </c:pt>
                <c:pt idx="4">
                  <c:v>12 hrs.</c:v>
                </c:pt>
                <c:pt idx="5">
                  <c:v>24 hrs.</c:v>
                </c:pt>
              </c:strCache>
            </c:strRef>
          </c:cat>
          <c:val>
            <c:numRef>
              <c:f>Sheet1!$E$62:$E$67</c:f>
              <c:numCache>
                <c:formatCode>General</c:formatCode>
                <c:ptCount val="6"/>
                <c:pt idx="0">
                  <c:v>7.5</c:v>
                </c:pt>
                <c:pt idx="1">
                  <c:v>2.7</c:v>
                </c:pt>
                <c:pt idx="2">
                  <c:v>1.8</c:v>
                </c:pt>
                <c:pt idx="3">
                  <c:v>1.7</c:v>
                </c:pt>
                <c:pt idx="4">
                  <c:v>2.5</c:v>
                </c:pt>
                <c:pt idx="5">
                  <c:v>6.6</c:v>
                </c:pt>
              </c:numCache>
            </c:numRef>
          </c:val>
          <c:smooth val="0"/>
        </c:ser>
        <c:dLbls>
          <c:showLegendKey val="0"/>
          <c:showVal val="0"/>
          <c:showCatName val="0"/>
          <c:showSerName val="0"/>
          <c:showPercent val="0"/>
          <c:showBubbleSize val="0"/>
        </c:dLbls>
        <c:marker val="1"/>
        <c:smooth val="0"/>
        <c:axId val="157920768"/>
        <c:axId val="156656768"/>
      </c:lineChart>
      <c:catAx>
        <c:axId val="157920768"/>
        <c:scaling>
          <c:orientation val="minMax"/>
        </c:scaling>
        <c:delete val="0"/>
        <c:axPos val="b"/>
        <c:majorTickMark val="none"/>
        <c:minorTickMark val="none"/>
        <c:tickLblPos val="nextTo"/>
        <c:crossAx val="156656768"/>
        <c:crosses val="autoZero"/>
        <c:auto val="1"/>
        <c:lblAlgn val="ctr"/>
        <c:lblOffset val="100"/>
        <c:noMultiLvlLbl val="0"/>
      </c:catAx>
      <c:valAx>
        <c:axId val="156656768"/>
        <c:scaling>
          <c:orientation val="minMax"/>
          <c:max val="14"/>
          <c:min val="0"/>
        </c:scaling>
        <c:delete val="0"/>
        <c:axPos val="l"/>
        <c:majorGridlines/>
        <c:title>
          <c:tx>
            <c:rich>
              <a:bodyPr/>
              <a:lstStyle/>
              <a:p>
                <a:pPr>
                  <a:defRPr sz="1520" baseline="0"/>
                </a:pPr>
                <a:r>
                  <a:rPr lang="en-US" sz="1340" b="0" i="0" baseline="0"/>
                  <a:t>morphine (mg)</a:t>
                </a:r>
              </a:p>
            </c:rich>
          </c:tx>
          <c:layout>
            <c:manualLayout>
              <c:xMode val="edge"/>
              <c:yMode val="edge"/>
              <c:x val="6.1634487469888179E-2"/>
              <c:y val="0.19629368697333885"/>
            </c:manualLayout>
          </c:layout>
          <c:overlay val="0"/>
        </c:title>
        <c:numFmt formatCode="General" sourceLinked="1"/>
        <c:majorTickMark val="none"/>
        <c:minorTickMark val="none"/>
        <c:tickLblPos val="nextTo"/>
        <c:crossAx val="157920768"/>
        <c:crosses val="autoZero"/>
        <c:crossBetween val="between"/>
      </c:valAx>
    </c:plotArea>
    <c:legend>
      <c:legendPos val="r"/>
      <c:layout>
        <c:manualLayout>
          <c:xMode val="edge"/>
          <c:yMode val="edge"/>
          <c:x val="0.76286977826401847"/>
          <c:y val="0.53460284569691952"/>
          <c:w val="0.16407086100538804"/>
          <c:h val="0.21149606299212598"/>
        </c:manualLayout>
      </c:layout>
      <c:overlay val="0"/>
    </c:legend>
    <c:plotVisOnly val="1"/>
    <c:dispBlanksAs val="gap"/>
    <c:showDLblsOverMax val="0"/>
  </c:chart>
  <c:spPr>
    <a:ln w="28575">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Sheet2!$B$44</c:f>
              <c:strCache>
                <c:ptCount val="1"/>
                <c:pt idx="0">
                  <c:v>Group I</c:v>
                </c:pt>
              </c:strCache>
            </c:strRef>
          </c:tx>
          <c:cat>
            <c:strRef>
              <c:f>Sheet2!$A$45:$A$50</c:f>
              <c:strCache>
                <c:ptCount val="6"/>
                <c:pt idx="0">
                  <c:v>At PACU</c:v>
                </c:pt>
                <c:pt idx="1">
                  <c:v>2 hrs.</c:v>
                </c:pt>
                <c:pt idx="2">
                  <c:v>4 hrs.</c:v>
                </c:pt>
                <c:pt idx="3">
                  <c:v>8 hrs.</c:v>
                </c:pt>
                <c:pt idx="4">
                  <c:v>12 hrs.</c:v>
                </c:pt>
                <c:pt idx="5">
                  <c:v>24 hrs.</c:v>
                </c:pt>
              </c:strCache>
            </c:strRef>
          </c:cat>
          <c:val>
            <c:numRef>
              <c:f>Sheet2!$B$45:$B$50</c:f>
              <c:numCache>
                <c:formatCode>General</c:formatCode>
                <c:ptCount val="6"/>
                <c:pt idx="0">
                  <c:v>3.3</c:v>
                </c:pt>
                <c:pt idx="1">
                  <c:v>4</c:v>
                </c:pt>
                <c:pt idx="2">
                  <c:v>2.73</c:v>
                </c:pt>
                <c:pt idx="3">
                  <c:v>2.4</c:v>
                </c:pt>
                <c:pt idx="4">
                  <c:v>2.2000000000000002</c:v>
                </c:pt>
                <c:pt idx="5">
                  <c:v>1.43</c:v>
                </c:pt>
              </c:numCache>
            </c:numRef>
          </c:val>
          <c:smooth val="0"/>
        </c:ser>
        <c:ser>
          <c:idx val="1"/>
          <c:order val="1"/>
          <c:tx>
            <c:strRef>
              <c:f>Sheet2!$C$44</c:f>
              <c:strCache>
                <c:ptCount val="1"/>
                <c:pt idx="0">
                  <c:v>Group II</c:v>
                </c:pt>
              </c:strCache>
            </c:strRef>
          </c:tx>
          <c:cat>
            <c:strRef>
              <c:f>Sheet2!$A$45:$A$50</c:f>
              <c:strCache>
                <c:ptCount val="6"/>
                <c:pt idx="0">
                  <c:v>At PACU</c:v>
                </c:pt>
                <c:pt idx="1">
                  <c:v>2 hrs.</c:v>
                </c:pt>
                <c:pt idx="2">
                  <c:v>4 hrs.</c:v>
                </c:pt>
                <c:pt idx="3">
                  <c:v>8 hrs.</c:v>
                </c:pt>
                <c:pt idx="4">
                  <c:v>12 hrs.</c:v>
                </c:pt>
                <c:pt idx="5">
                  <c:v>24 hrs.</c:v>
                </c:pt>
              </c:strCache>
            </c:strRef>
          </c:cat>
          <c:val>
            <c:numRef>
              <c:f>Sheet2!$C$45:$C$50</c:f>
              <c:numCache>
                <c:formatCode>General</c:formatCode>
                <c:ptCount val="6"/>
                <c:pt idx="0">
                  <c:v>3.06</c:v>
                </c:pt>
                <c:pt idx="1">
                  <c:v>3</c:v>
                </c:pt>
                <c:pt idx="2">
                  <c:v>2.06</c:v>
                </c:pt>
                <c:pt idx="3">
                  <c:v>2</c:v>
                </c:pt>
                <c:pt idx="4">
                  <c:v>2</c:v>
                </c:pt>
                <c:pt idx="5">
                  <c:v>1</c:v>
                </c:pt>
              </c:numCache>
            </c:numRef>
          </c:val>
          <c:smooth val="0"/>
        </c:ser>
        <c:dLbls>
          <c:showLegendKey val="0"/>
          <c:showVal val="0"/>
          <c:showCatName val="0"/>
          <c:showSerName val="0"/>
          <c:showPercent val="0"/>
          <c:showBubbleSize val="0"/>
        </c:dLbls>
        <c:marker val="1"/>
        <c:smooth val="0"/>
        <c:axId val="131600896"/>
        <c:axId val="156658496"/>
      </c:lineChart>
      <c:catAx>
        <c:axId val="131600896"/>
        <c:scaling>
          <c:orientation val="minMax"/>
        </c:scaling>
        <c:delete val="0"/>
        <c:axPos val="b"/>
        <c:majorTickMark val="none"/>
        <c:minorTickMark val="none"/>
        <c:tickLblPos val="nextTo"/>
        <c:crossAx val="156658496"/>
        <c:crosses val="autoZero"/>
        <c:auto val="1"/>
        <c:lblAlgn val="ctr"/>
        <c:lblOffset val="100"/>
        <c:noMultiLvlLbl val="0"/>
      </c:catAx>
      <c:valAx>
        <c:axId val="156658496"/>
        <c:scaling>
          <c:orientation val="minMax"/>
          <c:max val="5"/>
        </c:scaling>
        <c:delete val="0"/>
        <c:axPos val="l"/>
        <c:majorGridlines/>
        <c:title>
          <c:tx>
            <c:rich>
              <a:bodyPr/>
              <a:lstStyle/>
              <a:p>
                <a:pPr>
                  <a:defRPr/>
                </a:pPr>
                <a:r>
                  <a:rPr lang="en-US" sz="1110" b="0" i="0" baseline="0"/>
                  <a:t>VAS</a:t>
                </a:r>
                <a:r>
                  <a:rPr lang="en-US" baseline="0"/>
                  <a:t> </a:t>
                </a:r>
                <a:endParaRPr lang="en-US"/>
              </a:p>
            </c:rich>
          </c:tx>
          <c:layout>
            <c:manualLayout>
              <c:xMode val="edge"/>
              <c:yMode val="edge"/>
              <c:x val="2.7108565974707705E-2"/>
              <c:y val="0.38051845371180454"/>
            </c:manualLayout>
          </c:layout>
          <c:overlay val="0"/>
        </c:title>
        <c:numFmt formatCode="General" sourceLinked="1"/>
        <c:majorTickMark val="none"/>
        <c:minorTickMark val="none"/>
        <c:tickLblPos val="nextTo"/>
        <c:crossAx val="131600896"/>
        <c:crosses val="autoZero"/>
        <c:crossBetween val="between"/>
        <c:majorUnit val="1"/>
      </c:valAx>
    </c:plotArea>
    <c:legend>
      <c:legendPos val="r"/>
      <c:overlay val="0"/>
    </c:legend>
    <c:plotVisOnly val="1"/>
    <c:dispBlanksAs val="gap"/>
    <c:showDLblsOverMax val="0"/>
  </c:chart>
  <c:spPr>
    <a:ln w="28575">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Sheet2!$U$42</c:f>
              <c:strCache>
                <c:ptCount val="1"/>
                <c:pt idx="0">
                  <c:v>Group I</c:v>
                </c:pt>
              </c:strCache>
            </c:strRef>
          </c:tx>
          <c:cat>
            <c:strRef>
              <c:f>Sheet2!$T$43:$T$48</c:f>
              <c:strCache>
                <c:ptCount val="6"/>
                <c:pt idx="0">
                  <c:v>At PACU</c:v>
                </c:pt>
                <c:pt idx="1">
                  <c:v>2 hrs.</c:v>
                </c:pt>
                <c:pt idx="2">
                  <c:v>4 hrs.</c:v>
                </c:pt>
                <c:pt idx="3">
                  <c:v>8 hrs.</c:v>
                </c:pt>
                <c:pt idx="4">
                  <c:v>12 hrs.</c:v>
                </c:pt>
                <c:pt idx="5">
                  <c:v>24 hrs.</c:v>
                </c:pt>
              </c:strCache>
            </c:strRef>
          </c:cat>
          <c:val>
            <c:numRef>
              <c:f>Sheet2!$U$43:$U$48</c:f>
              <c:numCache>
                <c:formatCode>General</c:formatCode>
                <c:ptCount val="6"/>
                <c:pt idx="0">
                  <c:v>4.03</c:v>
                </c:pt>
                <c:pt idx="1">
                  <c:v>4.37</c:v>
                </c:pt>
                <c:pt idx="2">
                  <c:v>3.7</c:v>
                </c:pt>
                <c:pt idx="3">
                  <c:v>3.4</c:v>
                </c:pt>
                <c:pt idx="4">
                  <c:v>2.4</c:v>
                </c:pt>
                <c:pt idx="5">
                  <c:v>2.33</c:v>
                </c:pt>
              </c:numCache>
            </c:numRef>
          </c:val>
          <c:smooth val="0"/>
        </c:ser>
        <c:ser>
          <c:idx val="1"/>
          <c:order val="1"/>
          <c:tx>
            <c:strRef>
              <c:f>Sheet2!$V$42</c:f>
              <c:strCache>
                <c:ptCount val="1"/>
                <c:pt idx="0">
                  <c:v>Group II</c:v>
                </c:pt>
              </c:strCache>
            </c:strRef>
          </c:tx>
          <c:cat>
            <c:strRef>
              <c:f>Sheet2!$T$43:$T$48</c:f>
              <c:strCache>
                <c:ptCount val="6"/>
                <c:pt idx="0">
                  <c:v>At PACU</c:v>
                </c:pt>
                <c:pt idx="1">
                  <c:v>2 hrs.</c:v>
                </c:pt>
                <c:pt idx="2">
                  <c:v>4 hrs.</c:v>
                </c:pt>
                <c:pt idx="3">
                  <c:v>8 hrs.</c:v>
                </c:pt>
                <c:pt idx="4">
                  <c:v>12 hrs.</c:v>
                </c:pt>
                <c:pt idx="5">
                  <c:v>24 hrs.</c:v>
                </c:pt>
              </c:strCache>
            </c:strRef>
          </c:cat>
          <c:val>
            <c:numRef>
              <c:f>Sheet2!$V$43:$V$48</c:f>
              <c:numCache>
                <c:formatCode>General</c:formatCode>
                <c:ptCount val="6"/>
                <c:pt idx="0">
                  <c:v>3.6</c:v>
                </c:pt>
                <c:pt idx="1">
                  <c:v>4.0999999999999996</c:v>
                </c:pt>
                <c:pt idx="2">
                  <c:v>3</c:v>
                </c:pt>
                <c:pt idx="3">
                  <c:v>3.07</c:v>
                </c:pt>
                <c:pt idx="4">
                  <c:v>2.0299999999999998</c:v>
                </c:pt>
                <c:pt idx="5">
                  <c:v>2</c:v>
                </c:pt>
              </c:numCache>
            </c:numRef>
          </c:val>
          <c:smooth val="0"/>
        </c:ser>
        <c:dLbls>
          <c:showLegendKey val="0"/>
          <c:showVal val="0"/>
          <c:showCatName val="0"/>
          <c:showSerName val="0"/>
          <c:showPercent val="0"/>
          <c:showBubbleSize val="0"/>
        </c:dLbls>
        <c:marker val="1"/>
        <c:smooth val="0"/>
        <c:axId val="157920256"/>
        <c:axId val="156661952"/>
      </c:lineChart>
      <c:catAx>
        <c:axId val="157920256"/>
        <c:scaling>
          <c:orientation val="minMax"/>
        </c:scaling>
        <c:delete val="0"/>
        <c:axPos val="b"/>
        <c:majorTickMark val="none"/>
        <c:minorTickMark val="none"/>
        <c:tickLblPos val="nextTo"/>
        <c:crossAx val="156661952"/>
        <c:crosses val="autoZero"/>
        <c:auto val="1"/>
        <c:lblAlgn val="ctr"/>
        <c:lblOffset val="100"/>
        <c:noMultiLvlLbl val="0"/>
      </c:catAx>
      <c:valAx>
        <c:axId val="156661952"/>
        <c:scaling>
          <c:orientation val="minMax"/>
          <c:max val="7"/>
        </c:scaling>
        <c:delete val="0"/>
        <c:axPos val="l"/>
        <c:majorGridlines/>
        <c:title>
          <c:tx>
            <c:rich>
              <a:bodyPr/>
              <a:lstStyle/>
              <a:p>
                <a:pPr>
                  <a:defRPr/>
                </a:pPr>
                <a:r>
                  <a:rPr lang="en-US" sz="1110" b="0" i="0" baseline="0"/>
                  <a:t>VAS</a:t>
                </a:r>
              </a:p>
            </c:rich>
          </c:tx>
          <c:layout>
            <c:manualLayout>
              <c:xMode val="edge"/>
              <c:yMode val="edge"/>
              <c:x val="2.4748646558391339E-2"/>
              <c:y val="0.33989174589690813"/>
            </c:manualLayout>
          </c:layout>
          <c:overlay val="0"/>
        </c:title>
        <c:numFmt formatCode="General" sourceLinked="1"/>
        <c:majorTickMark val="none"/>
        <c:minorTickMark val="none"/>
        <c:tickLblPos val="nextTo"/>
        <c:crossAx val="157920256"/>
        <c:crosses val="autoZero"/>
        <c:crossBetween val="between"/>
        <c:majorUnit val="1"/>
      </c:valAx>
    </c:plotArea>
    <c:legend>
      <c:legendPos val="r"/>
      <c:overlay val="0"/>
    </c:legend>
    <c:plotVisOnly val="1"/>
    <c:dispBlanksAs val="gap"/>
    <c:showDLblsOverMax val="0"/>
  </c:chart>
  <c:spPr>
    <a:ln w="28575">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لا اله الا الله</dc:creator>
  <cp:lastModifiedBy>لا اله الا الله</cp:lastModifiedBy>
  <cp:revision>11</cp:revision>
  <dcterms:created xsi:type="dcterms:W3CDTF">2015-07-09T10:13:00Z</dcterms:created>
  <dcterms:modified xsi:type="dcterms:W3CDTF">2015-07-09T20:41:00Z</dcterms:modified>
</cp:coreProperties>
</file>